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8B33" w14:textId="77777777" w:rsidR="002875A4" w:rsidRPr="006A4A61" w:rsidRDefault="0041311D" w:rsidP="002875A4">
      <w:pPr>
        <w:jc w:val="both"/>
        <w:rPr>
          <w:u w:val="single"/>
        </w:rPr>
      </w:pPr>
      <w:r>
        <w:rPr>
          <w:b/>
          <w:i/>
          <w:u w:val="single"/>
        </w:rPr>
        <w:t>Instrumenty Finansowe w ramach Program</w:t>
      </w:r>
      <w:r w:rsidR="005A2C3B">
        <w:rPr>
          <w:b/>
          <w:i/>
          <w:u w:val="single"/>
        </w:rPr>
        <w:t>u Operacyjnego Polska Cyfrowa „</w:t>
      </w:r>
      <w:r>
        <w:rPr>
          <w:b/>
          <w:i/>
          <w:u w:val="single"/>
        </w:rPr>
        <w:t xml:space="preserve">Pożyczka </w:t>
      </w:r>
      <w:r w:rsidR="006F0E09">
        <w:rPr>
          <w:b/>
          <w:i/>
          <w:u w:val="single"/>
        </w:rPr>
        <w:t>szerokopasmowa</w:t>
      </w:r>
      <w:r w:rsidR="005A2C3B">
        <w:rPr>
          <w:b/>
          <w:i/>
          <w:u w:val="single"/>
        </w:rPr>
        <w:t>” – informacja dla samorządów.</w:t>
      </w:r>
    </w:p>
    <w:p w14:paraId="1AA915CC" w14:textId="77777777" w:rsidR="002875A4" w:rsidRPr="002875A4" w:rsidRDefault="002875A4" w:rsidP="002875A4">
      <w:pPr>
        <w:pStyle w:val="Akapitzlist"/>
        <w:numPr>
          <w:ilvl w:val="0"/>
          <w:numId w:val="9"/>
        </w:numPr>
        <w:jc w:val="both"/>
        <w:rPr>
          <w:b/>
        </w:rPr>
      </w:pPr>
      <w:r w:rsidRPr="002875A4">
        <w:rPr>
          <w:b/>
        </w:rPr>
        <w:t>Cel</w:t>
      </w:r>
      <w:r>
        <w:rPr>
          <w:b/>
        </w:rPr>
        <w:t xml:space="preserve"> finansowania</w:t>
      </w:r>
    </w:p>
    <w:p w14:paraId="63B5E6A8" w14:textId="77777777" w:rsidR="006C700A" w:rsidRDefault="00EC0C25" w:rsidP="00C74207">
      <w:pPr>
        <w:jc w:val="both"/>
      </w:pPr>
      <w:r>
        <w:t>B</w:t>
      </w:r>
      <w:r w:rsidR="00D32D26">
        <w:t xml:space="preserve">ank </w:t>
      </w:r>
      <w:r>
        <w:t>G</w:t>
      </w:r>
      <w:r w:rsidR="00D32D26">
        <w:t xml:space="preserve">ospodarstwa </w:t>
      </w:r>
      <w:r>
        <w:t>K</w:t>
      </w:r>
      <w:r w:rsidR="00D32D26">
        <w:t>rajowego</w:t>
      </w:r>
      <w:r w:rsidR="006F0E09">
        <w:t xml:space="preserve"> (BGK)</w:t>
      </w:r>
      <w:r w:rsidR="00157BE4">
        <w:t xml:space="preserve"> </w:t>
      </w:r>
      <w:r w:rsidR="00E84FCF">
        <w:t>pełni rolę podmiotu zarząd</w:t>
      </w:r>
      <w:r w:rsidR="002238D4">
        <w:t>z</w:t>
      </w:r>
      <w:r w:rsidR="00E84FCF">
        <w:t xml:space="preserve">ającego środkami </w:t>
      </w:r>
      <w:r w:rsidR="003F727F">
        <w:t xml:space="preserve">UE </w:t>
      </w:r>
      <w:r w:rsidR="00317E89">
        <w:t>przeznaczonymi</w:t>
      </w:r>
      <w:r w:rsidR="00D32D26">
        <w:t xml:space="preserve"> </w:t>
      </w:r>
      <w:r w:rsidR="00317E89">
        <w:t>na</w:t>
      </w:r>
      <w:r w:rsidR="003F727F">
        <w:t xml:space="preserve"> finansowanie</w:t>
      </w:r>
      <w:r w:rsidR="00317E89">
        <w:t xml:space="preserve"> </w:t>
      </w:r>
      <w:r w:rsidR="00D32D26">
        <w:t xml:space="preserve">inwestycji </w:t>
      </w:r>
      <w:r w:rsidR="00317E89">
        <w:t>polegając</w:t>
      </w:r>
      <w:r w:rsidR="003F727F">
        <w:t>ych</w:t>
      </w:r>
      <w:r w:rsidR="00317E89">
        <w:t xml:space="preserve"> </w:t>
      </w:r>
      <w:r w:rsidR="00D32D26">
        <w:t xml:space="preserve">na budowie, rozbudowie lub przebudowie infrastruktury szerokopasmowego Internetu o </w:t>
      </w:r>
      <w:r w:rsidR="006F0E09">
        <w:t>parametrach technicznych</w:t>
      </w:r>
      <w:r w:rsidR="00317E89">
        <w:t xml:space="preserve"> min.</w:t>
      </w:r>
      <w:r w:rsidR="00D32D26">
        <w:t xml:space="preserve"> 30 Mb/s dla gospodarstw domowych oraz 100 Mb/s dla jednostek oświatowych. </w:t>
      </w:r>
    </w:p>
    <w:p w14:paraId="545EBA09" w14:textId="1CA59F21" w:rsidR="00C74207" w:rsidRPr="002875A4" w:rsidRDefault="006F2914" w:rsidP="00C74207">
      <w:pPr>
        <w:jc w:val="both"/>
        <w:rPr>
          <w:b/>
          <w:i/>
        </w:rPr>
      </w:pPr>
      <w:r>
        <w:t>Preferencyjne f</w:t>
      </w:r>
      <w:r w:rsidR="00A530A1">
        <w:t xml:space="preserve">inasowanie </w:t>
      </w:r>
      <w:r>
        <w:t xml:space="preserve">oferowane </w:t>
      </w:r>
      <w:r w:rsidR="00A530A1">
        <w:t>jest przez wybranych w trybie konkurencyjnym pośredników finansowych</w:t>
      </w:r>
      <w:r w:rsidR="00A95BBC">
        <w:t xml:space="preserve"> </w:t>
      </w:r>
      <w:r w:rsidR="00A76CB4">
        <w:t xml:space="preserve">i jest </w:t>
      </w:r>
      <w:r w:rsidR="00A95BBC">
        <w:t xml:space="preserve">skierowane do </w:t>
      </w:r>
      <w:r w:rsidR="00C74207" w:rsidRPr="00C74207">
        <w:t>przedsiębiorców telekomunikacyjn</w:t>
      </w:r>
      <w:r w:rsidR="00317E89">
        <w:t xml:space="preserve">ych </w:t>
      </w:r>
      <w:r>
        <w:t>oraz</w:t>
      </w:r>
      <w:r w:rsidR="00317E89">
        <w:t xml:space="preserve"> jednostek samorządu terytorialnego</w:t>
      </w:r>
      <w:r w:rsidR="00A95BBC">
        <w:t>,</w:t>
      </w:r>
      <w:r w:rsidR="00C74207" w:rsidRPr="00C74207">
        <w:t xml:space="preserve"> którzy realiz</w:t>
      </w:r>
      <w:r w:rsidR="0061339A">
        <w:t>ują</w:t>
      </w:r>
      <w:r w:rsidR="00C74207" w:rsidRPr="00C74207">
        <w:t xml:space="preserve"> </w:t>
      </w:r>
      <w:r>
        <w:t xml:space="preserve">lub planują realizować </w:t>
      </w:r>
      <w:r w:rsidR="00C74207" w:rsidRPr="00C74207">
        <w:t>inwesty</w:t>
      </w:r>
      <w:r w:rsidR="00C74207">
        <w:t>cj</w:t>
      </w:r>
      <w:r w:rsidR="0061339A">
        <w:t>e</w:t>
      </w:r>
      <w:r>
        <w:t xml:space="preserve"> telekomunikacyjne.</w:t>
      </w:r>
    </w:p>
    <w:p w14:paraId="5113C08A" w14:textId="77777777" w:rsidR="002875A4" w:rsidRPr="002875A4" w:rsidRDefault="002875A4" w:rsidP="002875A4">
      <w:pPr>
        <w:pStyle w:val="Akapitzlist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</w:rPr>
      </w:pPr>
      <w:r w:rsidRPr="002875A4">
        <w:rPr>
          <w:b/>
        </w:rPr>
        <w:t>Parametry produktu:</w:t>
      </w:r>
    </w:p>
    <w:p w14:paraId="7DCE3CBB" w14:textId="77777777" w:rsidR="002875A4" w:rsidRDefault="00157BE4" w:rsidP="002875A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>
        <w:t>K</w:t>
      </w:r>
      <w:r w:rsidR="00074DFE" w:rsidRPr="00F30DA3">
        <w:t>wota</w:t>
      </w:r>
      <w:r w:rsidR="00170A53" w:rsidRPr="00F30DA3">
        <w:t>:</w:t>
      </w:r>
      <w:r w:rsidR="00E92224">
        <w:rPr>
          <w:b/>
        </w:rPr>
        <w:t xml:space="preserve">  </w:t>
      </w:r>
      <w:r w:rsidR="00E92224" w:rsidRPr="00E92224">
        <w:t xml:space="preserve">od </w:t>
      </w:r>
      <w:r w:rsidR="00E92224">
        <w:rPr>
          <w:b/>
        </w:rPr>
        <w:t xml:space="preserve">20 tys. </w:t>
      </w:r>
      <w:r w:rsidR="00E92224" w:rsidRPr="00E92224">
        <w:t xml:space="preserve">do </w:t>
      </w:r>
      <w:r w:rsidR="00E92224">
        <w:rPr>
          <w:b/>
        </w:rPr>
        <w:t>5</w:t>
      </w:r>
      <w:r w:rsidR="00170A53" w:rsidRPr="00F30DA3">
        <w:rPr>
          <w:b/>
        </w:rPr>
        <w:t xml:space="preserve">0 mln </w:t>
      </w:r>
      <w:r w:rsidR="00074DFE" w:rsidRPr="00F30DA3">
        <w:rPr>
          <w:b/>
        </w:rPr>
        <w:t>zł</w:t>
      </w:r>
      <w:r w:rsidR="007C13B6">
        <w:rPr>
          <w:b/>
        </w:rPr>
        <w:t>;</w:t>
      </w:r>
    </w:p>
    <w:p w14:paraId="6BFCC087" w14:textId="77777777" w:rsidR="002875A4" w:rsidRPr="002875A4" w:rsidRDefault="00170A53" w:rsidP="002875A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 w:rsidRPr="00170A53">
        <w:t>Karencja w spłacie kapitału</w:t>
      </w:r>
      <w:r w:rsidR="001B53EB">
        <w:t xml:space="preserve">: </w:t>
      </w:r>
      <w:r w:rsidRPr="00E92224">
        <w:rPr>
          <w:bCs/>
        </w:rPr>
        <w:t xml:space="preserve">do </w:t>
      </w:r>
      <w:r w:rsidRPr="002875A4">
        <w:rPr>
          <w:b/>
          <w:bCs/>
        </w:rPr>
        <w:t>30 miesięcy</w:t>
      </w:r>
      <w:r w:rsidR="007C13B6">
        <w:rPr>
          <w:b/>
          <w:bCs/>
        </w:rPr>
        <w:t>;</w:t>
      </w:r>
    </w:p>
    <w:p w14:paraId="5A72D8C7" w14:textId="77777777" w:rsidR="002875A4" w:rsidRPr="002875A4" w:rsidRDefault="00E92224" w:rsidP="002875A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>
        <w:t>O</w:t>
      </w:r>
      <w:r w:rsidR="00170A53" w:rsidRPr="00170A53">
        <w:t xml:space="preserve">kres spłaty: </w:t>
      </w:r>
      <w:r>
        <w:t xml:space="preserve">do </w:t>
      </w:r>
      <w:r w:rsidR="00170A53" w:rsidRPr="002875A4">
        <w:rPr>
          <w:b/>
          <w:bCs/>
        </w:rPr>
        <w:t>15 lat</w:t>
      </w:r>
      <w:r w:rsidR="007C13B6">
        <w:rPr>
          <w:b/>
          <w:bCs/>
        </w:rPr>
        <w:t>;</w:t>
      </w:r>
    </w:p>
    <w:p w14:paraId="02F32D21" w14:textId="77777777" w:rsidR="002875A4" w:rsidRPr="002875A4" w:rsidRDefault="00074DFE" w:rsidP="002875A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>
        <w:t>Maksymalny poziom finansowania</w:t>
      </w:r>
      <w:r w:rsidR="00170A53" w:rsidRPr="00170A53">
        <w:t xml:space="preserve">: </w:t>
      </w:r>
      <w:r w:rsidR="001B53EB">
        <w:t xml:space="preserve">do </w:t>
      </w:r>
      <w:r w:rsidRPr="002875A4">
        <w:rPr>
          <w:b/>
        </w:rPr>
        <w:t>9</w:t>
      </w:r>
      <w:r w:rsidR="00170A53" w:rsidRPr="002875A4">
        <w:rPr>
          <w:b/>
          <w:bCs/>
        </w:rPr>
        <w:t>5%</w:t>
      </w:r>
      <w:r w:rsidR="00E92224">
        <w:rPr>
          <w:b/>
          <w:bCs/>
        </w:rPr>
        <w:t xml:space="preserve"> </w:t>
      </w:r>
      <w:r w:rsidR="00E92224" w:rsidRPr="00E92224">
        <w:rPr>
          <w:bCs/>
        </w:rPr>
        <w:t>wartości</w:t>
      </w:r>
      <w:r w:rsidR="00170A53" w:rsidRPr="00E92224">
        <w:t xml:space="preserve"> </w:t>
      </w:r>
      <w:r w:rsidR="00E92224" w:rsidRPr="00E92224">
        <w:t>inwestycji</w:t>
      </w:r>
      <w:r w:rsidR="007C13B6">
        <w:t>;</w:t>
      </w:r>
    </w:p>
    <w:p w14:paraId="4616EE81" w14:textId="77777777" w:rsidR="00E92224" w:rsidRPr="00E92224" w:rsidRDefault="00F57BAA" w:rsidP="00E9222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>
        <w:t>Prowizje i opłaty</w:t>
      </w:r>
      <w:r w:rsidR="00E92224">
        <w:t xml:space="preserve"> (środki UE)</w:t>
      </w:r>
      <w:r>
        <w:t xml:space="preserve">: </w:t>
      </w:r>
      <w:r w:rsidR="00E92224">
        <w:rPr>
          <w:b/>
        </w:rPr>
        <w:t>brak</w:t>
      </w:r>
      <w:r w:rsidR="007C13B6">
        <w:t>;</w:t>
      </w:r>
    </w:p>
    <w:p w14:paraId="78C8A873" w14:textId="77777777" w:rsidR="00E92224" w:rsidRPr="002875A4" w:rsidRDefault="00E92224" w:rsidP="00E9222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 w:rsidRPr="00E92224">
        <w:t>Oprocentowanie</w:t>
      </w:r>
      <w:r w:rsidR="006F0E09">
        <w:t xml:space="preserve"> </w:t>
      </w:r>
      <w:r w:rsidR="001B53EB">
        <w:t>(</w:t>
      </w:r>
      <w:r w:rsidR="006F0E09">
        <w:t>środk</w:t>
      </w:r>
      <w:r w:rsidR="001B53EB">
        <w:t xml:space="preserve">i </w:t>
      </w:r>
      <w:r w:rsidR="006F0E09">
        <w:t>UE</w:t>
      </w:r>
      <w:r w:rsidR="001B53EB">
        <w:t>)</w:t>
      </w:r>
      <w:r w:rsidRPr="00E92224">
        <w:t>:</w:t>
      </w:r>
      <w:r w:rsidR="006F0E09">
        <w:t xml:space="preserve"> od </w:t>
      </w:r>
      <w:r w:rsidR="006F0E09" w:rsidRPr="00F13AB1">
        <w:rPr>
          <w:b/>
        </w:rPr>
        <w:t>0,25%</w:t>
      </w:r>
      <w:r w:rsidR="006F0E09">
        <w:t xml:space="preserve"> w oparciu o schemat pomocy</w:t>
      </w:r>
      <w:r w:rsidR="006F0E09" w:rsidRPr="006F0E09">
        <w:rPr>
          <w:i/>
        </w:rPr>
        <w:t xml:space="preserve"> de minimis</w:t>
      </w:r>
      <w:r w:rsidR="007C13B6">
        <w:rPr>
          <w:i/>
        </w:rPr>
        <w:t>;</w:t>
      </w:r>
    </w:p>
    <w:p w14:paraId="44F32F99" w14:textId="74E289DB" w:rsidR="002875A4" w:rsidRPr="002875A4" w:rsidRDefault="00F57BAA" w:rsidP="002875A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>
        <w:t>Zabezpieczeni</w:t>
      </w:r>
      <w:r w:rsidR="00F30DA3">
        <w:t>a: każdorazowo określane przez Pośredników F</w:t>
      </w:r>
      <w:r>
        <w:t>in</w:t>
      </w:r>
      <w:r w:rsidR="00F13AB1">
        <w:t>ansowych udzielających wsparcia</w:t>
      </w:r>
      <w:r>
        <w:t xml:space="preserve"> </w:t>
      </w:r>
      <w:r w:rsidR="001B53EB">
        <w:t>z</w:t>
      </w:r>
      <w:r w:rsidR="00B6322D">
        <w:t> </w:t>
      </w:r>
      <w:r>
        <w:t>m</w:t>
      </w:r>
      <w:r w:rsidR="001B53EB">
        <w:t>ożliwością</w:t>
      </w:r>
      <w:r w:rsidR="00170A53" w:rsidRPr="00170A53">
        <w:t xml:space="preserve"> stosowania </w:t>
      </w:r>
      <w:r w:rsidR="00170A53" w:rsidRPr="002875A4">
        <w:rPr>
          <w:bCs/>
        </w:rPr>
        <w:t>zabezpieczeń na przedmiocie finansowania</w:t>
      </w:r>
      <w:r w:rsidR="007C13B6">
        <w:rPr>
          <w:bCs/>
        </w:rPr>
        <w:t>;</w:t>
      </w:r>
    </w:p>
    <w:p w14:paraId="4075E91B" w14:textId="77777777" w:rsidR="002875A4" w:rsidRPr="002875A4" w:rsidRDefault="007C13B6" w:rsidP="002875A4">
      <w:pPr>
        <w:pStyle w:val="Akapitzlist"/>
        <w:numPr>
          <w:ilvl w:val="0"/>
          <w:numId w:val="8"/>
        </w:numPr>
        <w:spacing w:before="120" w:after="120" w:line="240" w:lineRule="auto"/>
        <w:ind w:hanging="357"/>
        <w:contextualSpacing w:val="0"/>
        <w:jc w:val="both"/>
        <w:rPr>
          <w:b/>
          <w:i/>
        </w:rPr>
      </w:pPr>
      <w:r>
        <w:t>Ostateczni odbiorcy:</w:t>
      </w:r>
      <w:r w:rsidR="00170A53" w:rsidRPr="00170A53">
        <w:t xml:space="preserve"> </w:t>
      </w:r>
      <w:r w:rsidR="001B53EB" w:rsidRPr="007C13B6">
        <w:rPr>
          <w:b/>
        </w:rPr>
        <w:t>jednostki samorządu terytorialnego</w:t>
      </w:r>
      <w:r w:rsidR="001B53EB">
        <w:t xml:space="preserve"> (JST) oraz </w:t>
      </w:r>
      <w:r w:rsidR="00170A53" w:rsidRPr="007C13B6">
        <w:rPr>
          <w:b/>
          <w:bCs/>
        </w:rPr>
        <w:t>przedsiębiorcy telekomunikacyjni</w:t>
      </w:r>
      <w:r w:rsidR="001B53EB" w:rsidRPr="001B53EB">
        <w:rPr>
          <w:bCs/>
        </w:rPr>
        <w:t xml:space="preserve"> </w:t>
      </w:r>
      <w:r w:rsidR="001B53EB">
        <w:rPr>
          <w:bCs/>
        </w:rPr>
        <w:t>wpisani do rejestrów Urzędów Komunikacji Elektronicznej</w:t>
      </w:r>
      <w:r>
        <w:rPr>
          <w:bCs/>
        </w:rPr>
        <w:t>.</w:t>
      </w:r>
    </w:p>
    <w:p w14:paraId="067C9990" w14:textId="77777777" w:rsidR="006A4A61" w:rsidRDefault="000E1FD7" w:rsidP="006A4A61">
      <w:pPr>
        <w:pStyle w:val="Akapitzlist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</w:rPr>
      </w:pPr>
      <w:r>
        <w:rPr>
          <w:b/>
        </w:rPr>
        <w:t>Korzyści dla ostatecznych odbiorców</w:t>
      </w:r>
    </w:p>
    <w:p w14:paraId="751BDA3D" w14:textId="77777777" w:rsidR="00A2564F" w:rsidRPr="006A4A61" w:rsidRDefault="000E1FD7" w:rsidP="006A4A61">
      <w:pPr>
        <w:pStyle w:val="Akapitzlist"/>
        <w:spacing w:before="120" w:after="120" w:line="240" w:lineRule="auto"/>
        <w:ind w:left="0"/>
        <w:contextualSpacing w:val="0"/>
        <w:jc w:val="both"/>
        <w:rPr>
          <w:b/>
        </w:rPr>
      </w:pPr>
      <w:r>
        <w:t>Pożyczka szerokopasmowa dedykowana JST przeznaczona jest przede wszystkim na inwestycje telekomunikacyjne, zarówno nowe, jak i pozostające w trakcie realizacji. Może stanowić samoistne wsparcie lub może finansować wydatki niekwalifikowalne w ramach innych projektów.</w:t>
      </w:r>
      <w:r w:rsidR="00510120">
        <w:t xml:space="preserve"> W odróżnienia od</w:t>
      </w:r>
      <w:r w:rsidR="00E47493">
        <w:t xml:space="preserve"> wsparcia dotacyjnego</w:t>
      </w:r>
      <w:r w:rsidR="00510120">
        <w:t xml:space="preserve"> </w:t>
      </w:r>
      <w:r w:rsidR="00E47493">
        <w:t>przedsięwzięcia mogą być realizowane na terytorium całego kraju, tj. na obszarach objętych dostępem do szerokopasmowego Internetu, jak również bez takiego dostępu</w:t>
      </w:r>
      <w:r w:rsidR="00F30DA3" w:rsidRPr="006A4A61">
        <w:rPr>
          <w:bCs/>
        </w:rPr>
        <w:t xml:space="preserve">. </w:t>
      </w:r>
      <w:r w:rsidR="00E47493">
        <w:rPr>
          <w:bCs/>
        </w:rPr>
        <w:t>Ponad to d</w:t>
      </w:r>
      <w:r w:rsidR="00A2564F" w:rsidRPr="006A4A61">
        <w:rPr>
          <w:bCs/>
        </w:rPr>
        <w:t>o głównych zalet tej formy finansowania należą przede wszystkim:</w:t>
      </w:r>
    </w:p>
    <w:p w14:paraId="48904774" w14:textId="02AF75D6" w:rsidR="005A2C3B" w:rsidRDefault="00B6322D" w:rsidP="005A2C3B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bCs/>
        </w:rPr>
      </w:pPr>
      <w:r>
        <w:rPr>
          <w:bCs/>
        </w:rPr>
        <w:t>p</w:t>
      </w:r>
      <w:r w:rsidR="00CF07C6">
        <w:rPr>
          <w:bCs/>
        </w:rPr>
        <w:t>referencyjne zasady</w:t>
      </w:r>
      <w:r w:rsidR="005A2C3B">
        <w:rPr>
          <w:bCs/>
        </w:rPr>
        <w:t xml:space="preserve"> </w:t>
      </w:r>
      <w:r w:rsidR="00CF07C6">
        <w:rPr>
          <w:bCs/>
        </w:rPr>
        <w:t>finasowania</w:t>
      </w:r>
      <w:r w:rsidR="005A2C3B">
        <w:rPr>
          <w:bCs/>
        </w:rPr>
        <w:t xml:space="preserve"> z oprocentowaniem środków </w:t>
      </w:r>
      <w:r w:rsidR="00CF07C6">
        <w:rPr>
          <w:bCs/>
        </w:rPr>
        <w:t>UE na poziomie nawet 0,25% w</w:t>
      </w:r>
      <w:r>
        <w:rPr>
          <w:bCs/>
        </w:rPr>
        <w:t> </w:t>
      </w:r>
      <w:r w:rsidR="00CF07C6">
        <w:rPr>
          <w:bCs/>
        </w:rPr>
        <w:t>skali roku; pośrednicy nie mogą też pobierać opłat od części środków powierzonych;</w:t>
      </w:r>
    </w:p>
    <w:p w14:paraId="6211F931" w14:textId="77777777" w:rsidR="005A2C3B" w:rsidRPr="005A2C3B" w:rsidRDefault="006A4A61" w:rsidP="005A2C3B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bCs/>
        </w:rPr>
      </w:pPr>
      <w:r>
        <w:rPr>
          <w:bCs/>
        </w:rPr>
        <w:t>u</w:t>
      </w:r>
      <w:r w:rsidR="00B3330A">
        <w:rPr>
          <w:bCs/>
        </w:rPr>
        <w:t>proszczone wymagania w zakresie realizacji procedur zakupowych, rozliczenia środków</w:t>
      </w:r>
      <w:r w:rsidR="0061339A">
        <w:rPr>
          <w:bCs/>
        </w:rPr>
        <w:t>,</w:t>
      </w:r>
      <w:r w:rsidR="00B3330A">
        <w:rPr>
          <w:bCs/>
        </w:rPr>
        <w:t xml:space="preserve"> sprawozdawczości czy zachowania efektów projektu;</w:t>
      </w:r>
    </w:p>
    <w:p w14:paraId="6691B4A6" w14:textId="77777777" w:rsidR="00E47493" w:rsidRPr="00B3330A" w:rsidRDefault="005A2C3B" w:rsidP="00B3330A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bCs/>
        </w:rPr>
      </w:pPr>
      <w:r>
        <w:rPr>
          <w:bCs/>
        </w:rPr>
        <w:t xml:space="preserve">bardziej elastyczne sposoby stosowanych </w:t>
      </w:r>
      <w:r w:rsidR="00CF07C6">
        <w:rPr>
          <w:bCs/>
        </w:rPr>
        <w:t>zabezpieczeń</w:t>
      </w:r>
      <w:r>
        <w:rPr>
          <w:bCs/>
        </w:rPr>
        <w:t xml:space="preserve"> pożyczki;</w:t>
      </w:r>
    </w:p>
    <w:p w14:paraId="7ECC3B10" w14:textId="2048483E" w:rsidR="00170A53" w:rsidRPr="00170A53" w:rsidRDefault="006A4A61" w:rsidP="00B3330A">
      <w:pPr>
        <w:numPr>
          <w:ilvl w:val="0"/>
          <w:numId w:val="4"/>
        </w:numPr>
        <w:spacing w:before="120" w:after="120" w:line="240" w:lineRule="auto"/>
        <w:ind w:left="360"/>
        <w:jc w:val="both"/>
      </w:pPr>
      <w:r>
        <w:lastRenderedPageBreak/>
        <w:t>s</w:t>
      </w:r>
      <w:r w:rsidR="00170A53" w:rsidRPr="00170A53">
        <w:t>zeroki katalog wydatków moż</w:t>
      </w:r>
      <w:r w:rsidR="00B3330A">
        <w:t>liwych do sfinansowania, w tym koszty niekwalifikowalne w</w:t>
      </w:r>
      <w:r w:rsidR="00B6322D">
        <w:t> </w:t>
      </w:r>
      <w:r w:rsidR="00B3330A">
        <w:t xml:space="preserve">dotacjach: </w:t>
      </w:r>
      <w:r w:rsidR="00170A53" w:rsidRPr="00170A53">
        <w:t>aktywne ele</w:t>
      </w:r>
      <w:r w:rsidR="00E47493">
        <w:t>menty sieci telekomunikacyjnej</w:t>
      </w:r>
      <w:r w:rsidR="00CF07C6">
        <w:t>, wydatki brutto</w:t>
      </w:r>
      <w:r w:rsidR="00B3330A">
        <w:t>;</w:t>
      </w:r>
    </w:p>
    <w:p w14:paraId="7C02D131" w14:textId="77777777" w:rsidR="00170A53" w:rsidRPr="00170A53" w:rsidRDefault="006A4A61" w:rsidP="00B3330A">
      <w:pPr>
        <w:numPr>
          <w:ilvl w:val="0"/>
          <w:numId w:val="4"/>
        </w:numPr>
        <w:spacing w:before="120" w:after="120" w:line="240" w:lineRule="auto"/>
        <w:ind w:left="360"/>
        <w:jc w:val="both"/>
      </w:pPr>
      <w:r>
        <w:t>j</w:t>
      </w:r>
      <w:r w:rsidR="00170A53" w:rsidRPr="00170A53">
        <w:t xml:space="preserve">eden </w:t>
      </w:r>
      <w:r w:rsidR="00CF07C6">
        <w:t>podmiot</w:t>
      </w:r>
      <w:r w:rsidR="00170A53" w:rsidRPr="00170A53">
        <w:t xml:space="preserve"> może ubiegać się o finasowanie kilku przedsięwzięć</w:t>
      </w:r>
      <w:r w:rsidR="00CF07C6">
        <w:t xml:space="preserve"> rozliczanych odrębnie, nawet już rozpoczętych</w:t>
      </w:r>
    </w:p>
    <w:p w14:paraId="132032B9" w14:textId="77777777" w:rsidR="005A2C3B" w:rsidRDefault="00CF07C6" w:rsidP="00157BE4">
      <w:pPr>
        <w:numPr>
          <w:ilvl w:val="0"/>
          <w:numId w:val="4"/>
        </w:numPr>
        <w:ind w:left="360"/>
        <w:jc w:val="both"/>
      </w:pPr>
      <w:r>
        <w:t xml:space="preserve">w przypadku samorządów nie wpisanych na listę UKE - prosta procedura rejestracji; </w:t>
      </w:r>
      <w:r w:rsidR="005A2C3B">
        <w:t>wystarczy złożyć wniosek do Prezesa UKE, by uzyskać status JST prowadzących działalność w zakresie telekomunikacji.</w:t>
      </w:r>
    </w:p>
    <w:p w14:paraId="5546A8AA" w14:textId="5D335392" w:rsidR="00CF07C6" w:rsidRDefault="00CF07C6" w:rsidP="00CF07C6">
      <w:pPr>
        <w:jc w:val="both"/>
      </w:pPr>
      <w:r>
        <w:t>Obecnie</w:t>
      </w:r>
      <w:r w:rsidR="00545140">
        <w:t>,</w:t>
      </w:r>
      <w:r>
        <w:t xml:space="preserve"> pożyczki szerokopasmowe dla JST oferuje Alior Bank S.A.</w:t>
      </w:r>
      <w:bookmarkStart w:id="0" w:name="_GoBack"/>
      <w:bookmarkEnd w:id="0"/>
    </w:p>
    <w:p w14:paraId="12C16A36" w14:textId="77777777" w:rsidR="00A82D3F" w:rsidRDefault="00A82D3F" w:rsidP="00CF07C6">
      <w:pPr>
        <w:jc w:val="both"/>
      </w:pPr>
      <w:r>
        <w:t xml:space="preserve">Więcej informacji: </w:t>
      </w:r>
      <w:hyperlink r:id="rId7" w:history="1">
        <w:r w:rsidRPr="00755E05">
          <w:rPr>
            <w:rStyle w:val="Hipercze"/>
          </w:rPr>
          <w:t>www.bgk.pl/popc</w:t>
        </w:r>
      </w:hyperlink>
      <w:r>
        <w:t xml:space="preserve"> oraz na stronie Alior Banku, na której można znaleźć szczegółowe parametry finansowania.</w:t>
      </w:r>
    </w:p>
    <w:p w14:paraId="2114550A" w14:textId="77777777" w:rsidR="00C04250" w:rsidRDefault="00C04250" w:rsidP="00E84FCF">
      <w:pPr>
        <w:jc w:val="both"/>
      </w:pPr>
    </w:p>
    <w:sectPr w:rsidR="00C042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C724" w14:textId="77777777" w:rsidR="008450FA" w:rsidRDefault="008450FA" w:rsidP="00C04250">
      <w:pPr>
        <w:spacing w:after="0" w:line="240" w:lineRule="auto"/>
      </w:pPr>
      <w:r>
        <w:separator/>
      </w:r>
    </w:p>
  </w:endnote>
  <w:endnote w:type="continuationSeparator" w:id="0">
    <w:p w14:paraId="69B802C0" w14:textId="77777777" w:rsidR="008450FA" w:rsidRDefault="008450FA" w:rsidP="00C0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5339" w14:textId="77777777" w:rsidR="001C47C1" w:rsidRDefault="001C47C1">
    <w:pPr>
      <w:pStyle w:val="Stopka"/>
    </w:pPr>
    <w:r>
      <w:rPr>
        <w:noProof/>
        <w:lang w:eastAsia="pl-PL"/>
      </w:rPr>
      <w:drawing>
        <wp:inline distT="0" distB="0" distL="0" distR="0" wp14:anchorId="617E9BD8" wp14:editId="512D8595">
          <wp:extent cx="5760720" cy="419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C318" w14:textId="77777777" w:rsidR="008450FA" w:rsidRDefault="008450FA" w:rsidP="00C04250">
      <w:pPr>
        <w:spacing w:after="0" w:line="240" w:lineRule="auto"/>
      </w:pPr>
      <w:r>
        <w:separator/>
      </w:r>
    </w:p>
  </w:footnote>
  <w:footnote w:type="continuationSeparator" w:id="0">
    <w:p w14:paraId="07ECEF37" w14:textId="77777777" w:rsidR="008450FA" w:rsidRDefault="008450FA" w:rsidP="00C0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5323" w14:textId="77777777" w:rsidR="001C47C1" w:rsidRDefault="001C47C1">
    <w:pPr>
      <w:pStyle w:val="Nagwek"/>
    </w:pPr>
    <w:r>
      <w:rPr>
        <w:noProof/>
        <w:lang w:eastAsia="pl-PL"/>
      </w:rPr>
      <w:drawing>
        <wp:inline distT="0" distB="0" distL="0" distR="0" wp14:anchorId="29B2A42F" wp14:editId="4551783D">
          <wp:extent cx="5760720" cy="4178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7AA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02DFA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91E84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75BC"/>
    <w:multiLevelType w:val="multilevel"/>
    <w:tmpl w:val="FC68D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930F9"/>
    <w:multiLevelType w:val="hybridMultilevel"/>
    <w:tmpl w:val="9E4A03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0E4D0D"/>
    <w:multiLevelType w:val="hybridMultilevel"/>
    <w:tmpl w:val="3F784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B517C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D67D4"/>
    <w:multiLevelType w:val="hybridMultilevel"/>
    <w:tmpl w:val="BF20CC3A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0BA869EA"/>
    <w:multiLevelType w:val="multilevel"/>
    <w:tmpl w:val="F3D6F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B6387D"/>
    <w:multiLevelType w:val="hybridMultilevel"/>
    <w:tmpl w:val="83DAAC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53742"/>
    <w:multiLevelType w:val="hybridMultilevel"/>
    <w:tmpl w:val="5426D0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C5B65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65AAB"/>
    <w:multiLevelType w:val="hybridMultilevel"/>
    <w:tmpl w:val="10ECA6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3523"/>
    <w:multiLevelType w:val="hybridMultilevel"/>
    <w:tmpl w:val="6DEA343C"/>
    <w:lvl w:ilvl="0" w:tplc="3216C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4546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F4AA7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05C3B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1081B"/>
    <w:multiLevelType w:val="hybridMultilevel"/>
    <w:tmpl w:val="0B7C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915C7"/>
    <w:multiLevelType w:val="multilevel"/>
    <w:tmpl w:val="375AE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C8191E"/>
    <w:multiLevelType w:val="hybridMultilevel"/>
    <w:tmpl w:val="7F3819C4"/>
    <w:lvl w:ilvl="0" w:tplc="D1BCCD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4546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F3318"/>
    <w:multiLevelType w:val="hybridMultilevel"/>
    <w:tmpl w:val="D6C857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C6BFE"/>
    <w:multiLevelType w:val="multilevel"/>
    <w:tmpl w:val="6768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370E0D"/>
    <w:multiLevelType w:val="hybridMultilevel"/>
    <w:tmpl w:val="64FCA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43F8"/>
    <w:multiLevelType w:val="hybridMultilevel"/>
    <w:tmpl w:val="7E424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75002F"/>
    <w:multiLevelType w:val="hybridMultilevel"/>
    <w:tmpl w:val="D3F8823A"/>
    <w:lvl w:ilvl="0" w:tplc="BCC20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4F3D32"/>
    <w:multiLevelType w:val="multilevel"/>
    <w:tmpl w:val="F4983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F6EFE"/>
    <w:multiLevelType w:val="multilevel"/>
    <w:tmpl w:val="B05C4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822A7"/>
    <w:multiLevelType w:val="hybridMultilevel"/>
    <w:tmpl w:val="51B2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0614A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51774"/>
    <w:multiLevelType w:val="hybridMultilevel"/>
    <w:tmpl w:val="C4D24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A3B91"/>
    <w:multiLevelType w:val="multilevel"/>
    <w:tmpl w:val="E7A0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574859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7379F"/>
    <w:multiLevelType w:val="multilevel"/>
    <w:tmpl w:val="0C8CA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70A3A"/>
    <w:multiLevelType w:val="hybridMultilevel"/>
    <w:tmpl w:val="004A4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80687A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9C2F92"/>
    <w:multiLevelType w:val="hybridMultilevel"/>
    <w:tmpl w:val="6B2E3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D8526C"/>
    <w:multiLevelType w:val="multilevel"/>
    <w:tmpl w:val="7A3E1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96161E"/>
    <w:multiLevelType w:val="multilevel"/>
    <w:tmpl w:val="E65A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6"/>
  </w:num>
  <w:num w:numId="5">
    <w:abstractNumId w:val="22"/>
  </w:num>
  <w:num w:numId="6">
    <w:abstractNumId w:val="10"/>
  </w:num>
  <w:num w:numId="7">
    <w:abstractNumId w:val="21"/>
  </w:num>
  <w:num w:numId="8">
    <w:abstractNumId w:val="4"/>
  </w:num>
  <w:num w:numId="9">
    <w:abstractNumId w:val="23"/>
  </w:num>
  <w:num w:numId="10">
    <w:abstractNumId w:val="16"/>
  </w:num>
  <w:num w:numId="11">
    <w:abstractNumId w:val="28"/>
  </w:num>
  <w:num w:numId="12">
    <w:abstractNumId w:val="32"/>
  </w:num>
  <w:num w:numId="13">
    <w:abstractNumId w:val="36"/>
  </w:num>
  <w:num w:numId="14">
    <w:abstractNumId w:val="0"/>
  </w:num>
  <w:num w:numId="15">
    <w:abstractNumId w:val="30"/>
  </w:num>
  <w:num w:numId="16">
    <w:abstractNumId w:val="1"/>
  </w:num>
  <w:num w:numId="17">
    <w:abstractNumId w:val="20"/>
  </w:num>
  <w:num w:numId="18">
    <w:abstractNumId w:val="11"/>
  </w:num>
  <w:num w:numId="19">
    <w:abstractNumId w:val="6"/>
  </w:num>
  <w:num w:numId="20">
    <w:abstractNumId w:val="27"/>
  </w:num>
  <w:num w:numId="21">
    <w:abstractNumId w:val="14"/>
  </w:num>
  <w:num w:numId="22">
    <w:abstractNumId w:val="29"/>
  </w:num>
  <w:num w:numId="23">
    <w:abstractNumId w:val="9"/>
  </w:num>
  <w:num w:numId="24">
    <w:abstractNumId w:val="35"/>
  </w:num>
  <w:num w:numId="25">
    <w:abstractNumId w:val="2"/>
  </w:num>
  <w:num w:numId="26">
    <w:abstractNumId w:val="17"/>
  </w:num>
  <w:num w:numId="27">
    <w:abstractNumId w:val="8"/>
  </w:num>
  <w:num w:numId="28">
    <w:abstractNumId w:val="19"/>
  </w:num>
  <w:num w:numId="29">
    <w:abstractNumId w:val="3"/>
  </w:num>
  <w:num w:numId="30">
    <w:abstractNumId w:val="12"/>
  </w:num>
  <w:num w:numId="31">
    <w:abstractNumId w:val="5"/>
  </w:num>
  <w:num w:numId="32">
    <w:abstractNumId w:val="34"/>
  </w:num>
  <w:num w:numId="33">
    <w:abstractNumId w:val="25"/>
  </w:num>
  <w:num w:numId="34">
    <w:abstractNumId w:val="31"/>
  </w:num>
  <w:num w:numId="35">
    <w:abstractNumId w:val="24"/>
  </w:num>
  <w:num w:numId="36">
    <w:abstractNumId w:val="33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53"/>
    <w:rsid w:val="00074DFE"/>
    <w:rsid w:val="000E1FD7"/>
    <w:rsid w:val="00157BE4"/>
    <w:rsid w:val="00170A53"/>
    <w:rsid w:val="001B53EB"/>
    <w:rsid w:val="001C47C1"/>
    <w:rsid w:val="002238D4"/>
    <w:rsid w:val="00280C80"/>
    <w:rsid w:val="002875A4"/>
    <w:rsid w:val="002E267B"/>
    <w:rsid w:val="003033E1"/>
    <w:rsid w:val="00311532"/>
    <w:rsid w:val="00317E89"/>
    <w:rsid w:val="00333CB9"/>
    <w:rsid w:val="003F727F"/>
    <w:rsid w:val="0041311D"/>
    <w:rsid w:val="00482C2C"/>
    <w:rsid w:val="004B1EB0"/>
    <w:rsid w:val="00510120"/>
    <w:rsid w:val="00545140"/>
    <w:rsid w:val="005A2C3B"/>
    <w:rsid w:val="0061339A"/>
    <w:rsid w:val="00624DC8"/>
    <w:rsid w:val="006303F5"/>
    <w:rsid w:val="006605BF"/>
    <w:rsid w:val="006A4A61"/>
    <w:rsid w:val="006C700A"/>
    <w:rsid w:val="006F0E09"/>
    <w:rsid w:val="006F2914"/>
    <w:rsid w:val="007815F8"/>
    <w:rsid w:val="007C13B6"/>
    <w:rsid w:val="008450FA"/>
    <w:rsid w:val="00914A5D"/>
    <w:rsid w:val="00916A46"/>
    <w:rsid w:val="00A2564F"/>
    <w:rsid w:val="00A530A1"/>
    <w:rsid w:val="00A76CB4"/>
    <w:rsid w:val="00A82D3F"/>
    <w:rsid w:val="00A918D7"/>
    <w:rsid w:val="00A95BBC"/>
    <w:rsid w:val="00B3330A"/>
    <w:rsid w:val="00B456EB"/>
    <w:rsid w:val="00B6322D"/>
    <w:rsid w:val="00BA4174"/>
    <w:rsid w:val="00C04250"/>
    <w:rsid w:val="00C74207"/>
    <w:rsid w:val="00CB2109"/>
    <w:rsid w:val="00CC29BD"/>
    <w:rsid w:val="00CC4215"/>
    <w:rsid w:val="00CF07C6"/>
    <w:rsid w:val="00D32D26"/>
    <w:rsid w:val="00D92203"/>
    <w:rsid w:val="00D96602"/>
    <w:rsid w:val="00DA5296"/>
    <w:rsid w:val="00DC6876"/>
    <w:rsid w:val="00E47493"/>
    <w:rsid w:val="00E641E7"/>
    <w:rsid w:val="00E84FCF"/>
    <w:rsid w:val="00E92224"/>
    <w:rsid w:val="00EC0C25"/>
    <w:rsid w:val="00F13AB1"/>
    <w:rsid w:val="00F30DA3"/>
    <w:rsid w:val="00F5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16996A"/>
  <w15:chartTrackingRefBased/>
  <w15:docId w15:val="{15653BAD-9773-4AA8-A0FC-1F428C4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A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4D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7C1"/>
  </w:style>
  <w:style w:type="paragraph" w:styleId="Stopka">
    <w:name w:val="footer"/>
    <w:basedOn w:val="Normalny"/>
    <w:link w:val="StopkaZnak"/>
    <w:uiPriority w:val="99"/>
    <w:unhideWhenUsed/>
    <w:rsid w:val="001C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7C1"/>
  </w:style>
  <w:style w:type="character" w:styleId="Odwoaniedokomentarza">
    <w:name w:val="annotation reference"/>
    <w:basedOn w:val="Domylnaczcionkaakapitu"/>
    <w:uiPriority w:val="99"/>
    <w:semiHidden/>
    <w:unhideWhenUsed/>
    <w:rsid w:val="00545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1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1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1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61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gk.pl/po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Wesołowski, Damian</dc:creator>
  <cp:keywords/>
  <dc:description/>
  <cp:lastModifiedBy>Wesołowski, Damian</cp:lastModifiedBy>
  <cp:revision>2</cp:revision>
  <dcterms:created xsi:type="dcterms:W3CDTF">2019-07-15T07:45:00Z</dcterms:created>
  <dcterms:modified xsi:type="dcterms:W3CDTF">2019-07-15T07:45:00Z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Damian.Wesolowski@bgk.pl</vt:lpwstr>
  </property>
  <property fmtid="{D5CDD505-2E9C-101B-9397-08002B2CF9AE}" pid="5" name="MSIP_Label_ffd642cb-f5ac-4f9c-8f91-3377ed972e0d_SetDate">
    <vt:lpwstr>2019-01-15T13:54:15.1754983Z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Damian.Wesolowski@bgk.pl</vt:lpwstr>
  </property>
  <property fmtid="{D5CDD505-2E9C-101B-9397-08002B2CF9AE}" pid="12" name="MSIP_Label_c668bcff-e2d1-47e2-adc1-b3354af02961_SetDate">
    <vt:lpwstr>2019-01-15T13:54:15.1754983Z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