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76B" w:rsidRPr="006B4515" w:rsidRDefault="00BA376B" w:rsidP="00C10F6C">
      <w:pPr>
        <w:spacing w:line="240" w:lineRule="auto"/>
        <w:jc w:val="both"/>
      </w:pPr>
      <w:bookmarkStart w:id="0" w:name="_GoBack"/>
      <w:bookmarkEnd w:id="0"/>
      <w:r w:rsidRPr="006B4515">
        <w:rPr>
          <w:noProof/>
        </w:rPr>
        <w:drawing>
          <wp:inline distT="0" distB="0" distL="0" distR="0">
            <wp:extent cx="5760720" cy="694055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4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BA376B" w:rsidRPr="006B4515" w:rsidRDefault="00BA376B" w:rsidP="00C10F6C">
      <w:pPr>
        <w:spacing w:line="240" w:lineRule="auto"/>
        <w:jc w:val="both"/>
      </w:pPr>
    </w:p>
    <w:p w:rsidR="00BA376B" w:rsidRPr="006B4515" w:rsidRDefault="00BA376B" w:rsidP="00C10F6C">
      <w:pPr>
        <w:spacing w:after="0" w:line="240" w:lineRule="auto"/>
        <w:ind w:left="5103"/>
        <w:jc w:val="both"/>
      </w:pPr>
    </w:p>
    <w:p w:rsidR="00BA376B" w:rsidRPr="00A326B2" w:rsidRDefault="00BA376B" w:rsidP="00C10F6C">
      <w:pPr>
        <w:spacing w:after="0" w:line="240" w:lineRule="auto"/>
        <w:ind w:left="5103"/>
        <w:jc w:val="both"/>
      </w:pPr>
      <w:r w:rsidRPr="00A326B2">
        <w:t>Załącznik do uchwały</w:t>
      </w:r>
      <w:r w:rsidR="00740D87" w:rsidRPr="00A326B2">
        <w:t xml:space="preserve"> </w:t>
      </w:r>
      <w:r w:rsidRPr="00A326B2">
        <w:t>nr</w:t>
      </w:r>
      <w:r w:rsidR="00740D87" w:rsidRPr="00A326B2">
        <w:t xml:space="preserve"> </w:t>
      </w:r>
    </w:p>
    <w:p w:rsidR="00BA376B" w:rsidRPr="00A326B2" w:rsidRDefault="00BA376B" w:rsidP="00C10F6C">
      <w:pPr>
        <w:spacing w:after="0" w:line="240" w:lineRule="auto"/>
        <w:ind w:left="5103"/>
        <w:jc w:val="both"/>
      </w:pPr>
      <w:r w:rsidRPr="00A326B2">
        <w:t xml:space="preserve">Zarządu Województwa Dolnośląskiego </w:t>
      </w:r>
    </w:p>
    <w:p w:rsidR="00BA376B" w:rsidRPr="006B4515" w:rsidRDefault="008C40DC" w:rsidP="00C10F6C">
      <w:pPr>
        <w:spacing w:after="0" w:line="240" w:lineRule="auto"/>
        <w:ind w:left="5103"/>
        <w:jc w:val="both"/>
      </w:pPr>
      <w:r w:rsidRPr="00A326B2">
        <w:t>z dnia</w:t>
      </w:r>
      <w:r w:rsidR="002618A4">
        <w:t xml:space="preserve"> </w:t>
      </w:r>
      <w:r w:rsidR="0003532D">
        <w:t xml:space="preserve">                                </w:t>
      </w:r>
      <w:r w:rsidR="0008638F">
        <w:t xml:space="preserve">              </w:t>
      </w:r>
      <w:r w:rsidR="002618A4">
        <w:t>2017 r.</w:t>
      </w:r>
    </w:p>
    <w:p w:rsidR="00BA376B" w:rsidRPr="006B4515" w:rsidRDefault="00BA376B" w:rsidP="00C10F6C">
      <w:pPr>
        <w:spacing w:line="240" w:lineRule="auto"/>
        <w:jc w:val="both"/>
      </w:pPr>
    </w:p>
    <w:p w:rsidR="00BA376B" w:rsidRPr="006B4515" w:rsidRDefault="00BA376B" w:rsidP="00C10F6C">
      <w:pPr>
        <w:spacing w:line="240" w:lineRule="auto"/>
        <w:jc w:val="both"/>
      </w:pPr>
    </w:p>
    <w:p w:rsidR="00BA376B" w:rsidRPr="006B4515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:rsidR="00BA376B" w:rsidRPr="006B4515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:rsidR="00BA376B" w:rsidRPr="006B4515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:rsidR="00BA376B" w:rsidRPr="006B4515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:rsidR="00384A7D" w:rsidRPr="00704FC5" w:rsidRDefault="009D79D3" w:rsidP="007C6813">
      <w:pPr>
        <w:tabs>
          <w:tab w:val="left" w:pos="5330"/>
        </w:tabs>
        <w:spacing w:line="240" w:lineRule="auto"/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Wytyczne programowe w zakresie kwalifikowalności</w:t>
      </w:r>
      <w:r w:rsidR="00BA376B" w:rsidRPr="00704FC5">
        <w:rPr>
          <w:b/>
          <w:color w:val="4F81BD" w:themeColor="accent1"/>
          <w:sz w:val="32"/>
          <w:szCs w:val="32"/>
        </w:rPr>
        <w:t xml:space="preserve"> wydatków </w:t>
      </w:r>
      <w:r w:rsidR="001864C1" w:rsidRPr="00704FC5">
        <w:rPr>
          <w:b/>
          <w:color w:val="4F81BD" w:themeColor="accent1"/>
          <w:sz w:val="32"/>
          <w:szCs w:val="32"/>
        </w:rPr>
        <w:t xml:space="preserve">finansowanych z Europejskiego Funduszu Rozwoju Regionalnego </w:t>
      </w:r>
      <w:r w:rsidR="00BA376B" w:rsidRPr="00704FC5">
        <w:rPr>
          <w:b/>
          <w:color w:val="4F81BD" w:themeColor="accent1"/>
          <w:sz w:val="32"/>
          <w:szCs w:val="32"/>
        </w:rPr>
        <w:t>w</w:t>
      </w:r>
      <w:r w:rsidR="007C6813">
        <w:rPr>
          <w:b/>
          <w:color w:val="4F81BD" w:themeColor="accent1"/>
          <w:sz w:val="32"/>
          <w:szCs w:val="32"/>
        </w:rPr>
        <w:t> </w:t>
      </w:r>
      <w:r w:rsidR="00BA376B" w:rsidRPr="00704FC5">
        <w:rPr>
          <w:b/>
          <w:color w:val="4F81BD" w:themeColor="accent1"/>
          <w:sz w:val="32"/>
          <w:szCs w:val="32"/>
        </w:rPr>
        <w:t>ramach Regionalnego Programu Operacyjnego Województwa Dolnośląskiego 2014-2020</w:t>
      </w:r>
    </w:p>
    <w:p w:rsidR="00BA376B" w:rsidRPr="006B4515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:rsidR="00BA376B" w:rsidRPr="006B4515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:rsidR="00BA376B" w:rsidRPr="006B4515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:rsidR="00BA376B" w:rsidRPr="006B4515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:rsidR="00BA376B" w:rsidRPr="006B4515" w:rsidRDefault="00BA376B" w:rsidP="00C10F6C">
      <w:pPr>
        <w:tabs>
          <w:tab w:val="left" w:pos="5330"/>
        </w:tabs>
        <w:spacing w:line="240" w:lineRule="auto"/>
        <w:jc w:val="both"/>
      </w:pPr>
    </w:p>
    <w:p w:rsidR="00BA376B" w:rsidRPr="006B4515" w:rsidRDefault="00BA376B" w:rsidP="00C10F6C">
      <w:pPr>
        <w:tabs>
          <w:tab w:val="left" w:pos="5330"/>
        </w:tabs>
        <w:spacing w:line="240" w:lineRule="auto"/>
        <w:jc w:val="both"/>
      </w:pPr>
    </w:p>
    <w:p w:rsidR="00BA376B" w:rsidRPr="006B4515" w:rsidRDefault="00BA376B" w:rsidP="00C10F6C">
      <w:pPr>
        <w:tabs>
          <w:tab w:val="left" w:pos="5330"/>
        </w:tabs>
        <w:spacing w:line="240" w:lineRule="auto"/>
        <w:jc w:val="both"/>
      </w:pPr>
    </w:p>
    <w:p w:rsidR="00BA376B" w:rsidRPr="006B4515" w:rsidRDefault="00BA376B" w:rsidP="00C10F6C">
      <w:pPr>
        <w:tabs>
          <w:tab w:val="left" w:pos="5330"/>
        </w:tabs>
        <w:spacing w:line="240" w:lineRule="auto"/>
        <w:jc w:val="both"/>
      </w:pPr>
    </w:p>
    <w:p w:rsidR="0018241A" w:rsidRPr="006B4515" w:rsidRDefault="0018241A" w:rsidP="00C10F6C">
      <w:pPr>
        <w:tabs>
          <w:tab w:val="left" w:pos="5330"/>
        </w:tabs>
        <w:spacing w:line="240" w:lineRule="auto"/>
        <w:jc w:val="both"/>
      </w:pPr>
    </w:p>
    <w:p w:rsidR="0018241A" w:rsidRPr="006B4515" w:rsidRDefault="0018241A" w:rsidP="00C10F6C">
      <w:pPr>
        <w:tabs>
          <w:tab w:val="left" w:pos="5330"/>
        </w:tabs>
        <w:spacing w:line="240" w:lineRule="auto"/>
        <w:jc w:val="both"/>
      </w:pPr>
    </w:p>
    <w:p w:rsidR="00BA376B" w:rsidRPr="006B4515" w:rsidRDefault="00BA376B" w:rsidP="00C10F6C">
      <w:pPr>
        <w:tabs>
          <w:tab w:val="left" w:pos="5330"/>
        </w:tabs>
        <w:spacing w:line="240" w:lineRule="auto"/>
        <w:jc w:val="both"/>
      </w:pPr>
    </w:p>
    <w:p w:rsidR="0018241A" w:rsidRPr="006B4515" w:rsidRDefault="00BA376B" w:rsidP="00704FC5">
      <w:pPr>
        <w:tabs>
          <w:tab w:val="left" w:pos="5330"/>
        </w:tabs>
        <w:spacing w:line="240" w:lineRule="auto"/>
        <w:jc w:val="center"/>
      </w:pPr>
      <w:r w:rsidRPr="006B4515">
        <w:t xml:space="preserve">Wrocław, </w:t>
      </w:r>
      <w:r w:rsidR="009962EA">
        <w:t>lipiec</w:t>
      </w:r>
      <w:r w:rsidR="0003532D" w:rsidRPr="00A326B2">
        <w:t xml:space="preserve"> </w:t>
      </w:r>
      <w:r w:rsidRPr="00A326B2">
        <w:t>201</w:t>
      </w:r>
      <w:r w:rsidR="00A326B2" w:rsidRPr="00A326B2">
        <w:t>7</w:t>
      </w:r>
      <w:r w:rsidRPr="00A326B2">
        <w:t xml:space="preserve"> r.</w:t>
      </w:r>
    </w:p>
    <w:p w:rsidR="00F02060" w:rsidRPr="006B4515" w:rsidRDefault="00F02060" w:rsidP="00C10F6C">
      <w:pPr>
        <w:spacing w:line="240" w:lineRule="auto"/>
        <w:jc w:val="both"/>
      </w:pPr>
      <w:r w:rsidRPr="006B4515">
        <w:br w:type="page"/>
      </w:r>
    </w:p>
    <w:p w:rsidR="00BA376B" w:rsidRPr="006B4515" w:rsidRDefault="001864C1" w:rsidP="00C10F6C">
      <w:pPr>
        <w:pStyle w:val="Akapitzlist"/>
        <w:numPr>
          <w:ilvl w:val="0"/>
          <w:numId w:val="1"/>
        </w:numPr>
        <w:tabs>
          <w:tab w:val="left" w:pos="5330"/>
        </w:tabs>
        <w:spacing w:line="240" w:lineRule="auto"/>
        <w:jc w:val="both"/>
        <w:rPr>
          <w:b/>
        </w:rPr>
      </w:pPr>
      <w:r w:rsidRPr="006B4515">
        <w:rPr>
          <w:b/>
        </w:rPr>
        <w:lastRenderedPageBreak/>
        <w:t>Wykaz skrótów</w:t>
      </w:r>
    </w:p>
    <w:p w:rsidR="0018241A" w:rsidRPr="00C34307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C34307">
        <w:rPr>
          <w:rFonts w:asciiTheme="minorHAnsi" w:hAnsiTheme="minorHAnsi"/>
          <w:sz w:val="22"/>
          <w:szCs w:val="22"/>
        </w:rPr>
        <w:t xml:space="preserve">1) </w:t>
      </w:r>
      <w:r w:rsidRPr="00C34307">
        <w:rPr>
          <w:rFonts w:asciiTheme="minorHAnsi" w:hAnsiTheme="minorHAnsi"/>
          <w:b/>
          <w:bCs/>
          <w:sz w:val="22"/>
          <w:szCs w:val="22"/>
        </w:rPr>
        <w:t xml:space="preserve">EFRR </w:t>
      </w:r>
      <w:r w:rsidRPr="00C34307">
        <w:rPr>
          <w:rFonts w:asciiTheme="minorHAnsi" w:hAnsiTheme="minorHAnsi"/>
          <w:sz w:val="22"/>
          <w:szCs w:val="22"/>
        </w:rPr>
        <w:t>– Europejski Fundusz Rozwoju Regionalnego;</w:t>
      </w:r>
    </w:p>
    <w:p w:rsidR="0018241A" w:rsidRPr="00C34307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C34307">
        <w:rPr>
          <w:rFonts w:asciiTheme="minorHAnsi" w:hAnsiTheme="minorHAnsi"/>
          <w:sz w:val="22"/>
          <w:szCs w:val="22"/>
        </w:rPr>
        <w:t xml:space="preserve">2) </w:t>
      </w:r>
      <w:r w:rsidRPr="00C34307">
        <w:rPr>
          <w:rFonts w:asciiTheme="minorHAnsi" w:hAnsiTheme="minorHAnsi"/>
          <w:b/>
          <w:bCs/>
          <w:sz w:val="22"/>
          <w:szCs w:val="22"/>
        </w:rPr>
        <w:t xml:space="preserve">MR </w:t>
      </w:r>
      <w:r w:rsidRPr="00C34307">
        <w:rPr>
          <w:rFonts w:asciiTheme="minorHAnsi" w:hAnsiTheme="minorHAnsi"/>
          <w:sz w:val="22"/>
          <w:szCs w:val="22"/>
        </w:rPr>
        <w:t>– Ministerstwo Rozwoj</w:t>
      </w:r>
      <w:r w:rsidR="00870C75" w:rsidRPr="00C34307">
        <w:rPr>
          <w:rFonts w:asciiTheme="minorHAnsi" w:hAnsiTheme="minorHAnsi"/>
          <w:sz w:val="22"/>
          <w:szCs w:val="22"/>
        </w:rPr>
        <w:t xml:space="preserve">u </w:t>
      </w:r>
    </w:p>
    <w:p w:rsidR="0018241A" w:rsidRPr="00C34307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C34307">
        <w:rPr>
          <w:rFonts w:asciiTheme="minorHAnsi" w:hAnsiTheme="minorHAnsi"/>
          <w:sz w:val="22"/>
          <w:szCs w:val="22"/>
        </w:rPr>
        <w:t xml:space="preserve">3) </w:t>
      </w:r>
      <w:r w:rsidR="00870C75" w:rsidRPr="00C34307">
        <w:rPr>
          <w:rFonts w:asciiTheme="minorHAnsi" w:hAnsiTheme="minorHAnsi"/>
          <w:b/>
          <w:bCs/>
          <w:sz w:val="22"/>
          <w:szCs w:val="22"/>
        </w:rPr>
        <w:t xml:space="preserve">RPO WD 2014-2020 </w:t>
      </w:r>
      <w:r w:rsidR="00870C75" w:rsidRPr="00C34307">
        <w:rPr>
          <w:rFonts w:asciiTheme="minorHAnsi" w:hAnsiTheme="minorHAnsi"/>
          <w:sz w:val="22"/>
          <w:szCs w:val="22"/>
        </w:rPr>
        <w:t xml:space="preserve">– Regionalny Program Operacyjny Województwa </w:t>
      </w:r>
      <w:r w:rsidR="00C34307" w:rsidRPr="00C34307">
        <w:rPr>
          <w:rFonts w:asciiTheme="minorHAnsi" w:hAnsiTheme="minorHAnsi"/>
          <w:sz w:val="22"/>
          <w:szCs w:val="22"/>
        </w:rPr>
        <w:t>Dolnośląskiego</w:t>
      </w:r>
      <w:r w:rsidR="00870C75" w:rsidRPr="00C34307">
        <w:rPr>
          <w:rFonts w:asciiTheme="minorHAnsi" w:hAnsiTheme="minorHAnsi"/>
          <w:sz w:val="22"/>
          <w:szCs w:val="22"/>
        </w:rPr>
        <w:t xml:space="preserve"> 2014-2020;</w:t>
      </w:r>
      <w:r w:rsidRPr="00C34307">
        <w:rPr>
          <w:rFonts w:asciiTheme="minorHAnsi" w:hAnsiTheme="minorHAnsi"/>
          <w:sz w:val="22"/>
          <w:szCs w:val="22"/>
        </w:rPr>
        <w:t xml:space="preserve"> </w:t>
      </w:r>
    </w:p>
    <w:p w:rsidR="00C34307" w:rsidRPr="00C34307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C34307">
        <w:rPr>
          <w:rFonts w:asciiTheme="minorHAnsi" w:hAnsiTheme="minorHAnsi"/>
          <w:sz w:val="22"/>
          <w:szCs w:val="22"/>
        </w:rPr>
        <w:t>4)</w:t>
      </w:r>
      <w:r w:rsidR="00C34307">
        <w:rPr>
          <w:rFonts w:asciiTheme="minorHAnsi" w:hAnsiTheme="minorHAnsi"/>
          <w:sz w:val="22"/>
          <w:szCs w:val="22"/>
        </w:rPr>
        <w:t> </w:t>
      </w:r>
      <w:r w:rsidR="00870C75" w:rsidRPr="00C34307">
        <w:rPr>
          <w:rFonts w:asciiTheme="minorHAnsi" w:hAnsiTheme="minorHAnsi"/>
          <w:b/>
          <w:bCs/>
          <w:sz w:val="22"/>
          <w:szCs w:val="22"/>
        </w:rPr>
        <w:t xml:space="preserve">IZ RPO WD </w:t>
      </w:r>
      <w:r w:rsidR="00870C75" w:rsidRPr="00C34307">
        <w:rPr>
          <w:rFonts w:asciiTheme="minorHAnsi" w:hAnsiTheme="minorHAnsi"/>
          <w:sz w:val="22"/>
          <w:szCs w:val="22"/>
        </w:rPr>
        <w:t>– Instytucja Zarządzająca Regionalnym Programem Operacyjnym Województwa Dolnośląskiego 2014-2020;</w:t>
      </w:r>
    </w:p>
    <w:p w:rsidR="005100D3" w:rsidRPr="00C34307" w:rsidRDefault="00C34307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C34307">
        <w:rPr>
          <w:rFonts w:asciiTheme="minorHAnsi" w:hAnsiTheme="minorHAnsi"/>
          <w:sz w:val="22"/>
          <w:szCs w:val="22"/>
        </w:rPr>
        <w:t>5)</w:t>
      </w:r>
      <w:r>
        <w:rPr>
          <w:rFonts w:asciiTheme="minorHAnsi" w:hAnsiTheme="minorHAnsi"/>
          <w:sz w:val="22"/>
          <w:szCs w:val="22"/>
        </w:rPr>
        <w:t> </w:t>
      </w:r>
      <w:r w:rsidR="005100D3" w:rsidRPr="00C34307">
        <w:rPr>
          <w:rFonts w:asciiTheme="minorHAnsi" w:hAnsiTheme="minorHAnsi"/>
          <w:b/>
          <w:sz w:val="22"/>
          <w:szCs w:val="22"/>
        </w:rPr>
        <w:t>IP RPO WD</w:t>
      </w:r>
      <w:r w:rsidR="005100D3" w:rsidRPr="00C34307">
        <w:rPr>
          <w:rFonts w:asciiTheme="minorHAnsi" w:hAnsiTheme="minorHAnsi"/>
          <w:sz w:val="22"/>
          <w:szCs w:val="22"/>
        </w:rPr>
        <w:t xml:space="preserve"> – Instytucja Pośrednicząca w ramach Regionalnego Programem Operacyjnego Województwa Dolnośląskiego 2014-2020;</w:t>
      </w:r>
    </w:p>
    <w:p w:rsidR="0018241A" w:rsidRPr="006B4515" w:rsidRDefault="0018241A" w:rsidP="00C10F6C">
      <w:pPr>
        <w:pStyle w:val="Akapitzlist"/>
        <w:tabs>
          <w:tab w:val="left" w:pos="5330"/>
        </w:tabs>
        <w:spacing w:line="240" w:lineRule="auto"/>
        <w:jc w:val="both"/>
        <w:rPr>
          <w:b/>
        </w:rPr>
      </w:pPr>
    </w:p>
    <w:p w:rsidR="001864C1" w:rsidRPr="006B4515" w:rsidRDefault="001864C1" w:rsidP="00C10F6C">
      <w:pPr>
        <w:pStyle w:val="Akapitzlist"/>
        <w:numPr>
          <w:ilvl w:val="0"/>
          <w:numId w:val="1"/>
        </w:numPr>
        <w:tabs>
          <w:tab w:val="left" w:pos="5330"/>
        </w:tabs>
        <w:spacing w:line="240" w:lineRule="auto"/>
        <w:jc w:val="both"/>
        <w:rPr>
          <w:b/>
        </w:rPr>
      </w:pPr>
      <w:r w:rsidRPr="006B4515">
        <w:rPr>
          <w:b/>
        </w:rPr>
        <w:t>Podstawa prawna</w:t>
      </w:r>
    </w:p>
    <w:p w:rsidR="0020153F" w:rsidRPr="00454E85" w:rsidRDefault="00870C75" w:rsidP="00C10F6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6B4515">
        <w:rPr>
          <w:rFonts w:cs="Arial"/>
          <w:color w:val="000000"/>
        </w:rPr>
        <w:t xml:space="preserve">Niniejsze </w:t>
      </w:r>
      <w:r w:rsidR="007C6813">
        <w:rPr>
          <w:rFonts w:cs="Arial"/>
          <w:color w:val="000000"/>
        </w:rPr>
        <w:t>wytyczne</w:t>
      </w:r>
      <w:r w:rsidRPr="006B4515">
        <w:rPr>
          <w:rFonts w:cs="Arial"/>
          <w:color w:val="000000"/>
        </w:rPr>
        <w:t>, zwane dalej</w:t>
      </w:r>
      <w:r w:rsidR="00454E85">
        <w:rPr>
          <w:rFonts w:cs="Arial"/>
          <w:color w:val="000000"/>
        </w:rPr>
        <w:t xml:space="preserve"> wytycznymi</w:t>
      </w:r>
      <w:r w:rsidR="002800FC">
        <w:rPr>
          <w:rFonts w:cs="Arial"/>
          <w:color w:val="000000"/>
        </w:rPr>
        <w:t>,</w:t>
      </w:r>
      <w:r w:rsidRPr="006B4515">
        <w:rPr>
          <w:rFonts w:cs="Arial"/>
          <w:color w:val="000000"/>
        </w:rPr>
        <w:t xml:space="preserve"> zostały wydane na podstawie art. 7 ust. 1</w:t>
      </w:r>
      <w:r w:rsidR="00FC247E" w:rsidRPr="006B4515">
        <w:rPr>
          <w:rFonts w:cs="Arial"/>
          <w:color w:val="000000"/>
        </w:rPr>
        <w:t xml:space="preserve"> </w:t>
      </w:r>
      <w:r w:rsidRPr="006B4515">
        <w:rPr>
          <w:rFonts w:cs="Arial"/>
          <w:color w:val="000000"/>
        </w:rPr>
        <w:t>ustawy z</w:t>
      </w:r>
      <w:r w:rsidR="007C6813">
        <w:rPr>
          <w:rFonts w:cs="Arial"/>
          <w:color w:val="000000"/>
        </w:rPr>
        <w:t> </w:t>
      </w:r>
      <w:r w:rsidRPr="006B4515">
        <w:rPr>
          <w:rFonts w:cs="Arial"/>
          <w:color w:val="000000"/>
        </w:rPr>
        <w:t>dnia 11 lipca 2014 r. o zasadach realizacji programów w zakresie polityki spójności finansowanych w</w:t>
      </w:r>
      <w:r w:rsidR="007C6813">
        <w:rPr>
          <w:rFonts w:cs="Arial"/>
          <w:color w:val="000000"/>
        </w:rPr>
        <w:t> </w:t>
      </w:r>
      <w:r w:rsidRPr="006B4515">
        <w:rPr>
          <w:rFonts w:cs="Arial"/>
          <w:color w:val="000000"/>
        </w:rPr>
        <w:t>perspektywie finansowej 2014-2020 (</w:t>
      </w:r>
      <w:r w:rsidR="00FC247E" w:rsidRPr="006B4515">
        <w:rPr>
          <w:rFonts w:cs="Arial"/>
          <w:color w:val="000000"/>
        </w:rPr>
        <w:t>tekst jedn.: Dz. U. z 2016 r., poz. 217</w:t>
      </w:r>
      <w:r w:rsidR="00BF7A1E">
        <w:rPr>
          <w:rFonts w:cs="Arial"/>
          <w:color w:val="000000"/>
        </w:rPr>
        <w:t xml:space="preserve"> z późn. zm.</w:t>
      </w:r>
      <w:r w:rsidR="00FC247E" w:rsidRPr="006B4515">
        <w:rPr>
          <w:rFonts w:cs="Arial"/>
          <w:color w:val="000000"/>
        </w:rPr>
        <w:t xml:space="preserve">), </w:t>
      </w:r>
      <w:r w:rsidRPr="006B4515">
        <w:rPr>
          <w:rFonts w:cs="Arial"/>
          <w:color w:val="000000"/>
        </w:rPr>
        <w:t>zwa</w:t>
      </w:r>
      <w:r w:rsidR="009964AC" w:rsidRPr="006B4515">
        <w:rPr>
          <w:rFonts w:cs="Arial"/>
          <w:color w:val="000000"/>
        </w:rPr>
        <w:t>nej dalej „ustawą wdrożeniową”</w:t>
      </w:r>
      <w:r w:rsidR="00EE25F0" w:rsidRPr="006B4515">
        <w:rPr>
          <w:rFonts w:cs="Arial"/>
          <w:color w:val="000000"/>
        </w:rPr>
        <w:t>, zgodnie z którym i</w:t>
      </w:r>
      <w:r w:rsidR="009964AC" w:rsidRPr="006B4515">
        <w:rPr>
          <w:rFonts w:cs="Verdana"/>
        </w:rPr>
        <w:t>nstytucja zarządzająca regionalnym programem operacyjnym może wydawać wytyczne dotyczące kwestii szczegółowych dla danego programu operacyjnego</w:t>
      </w:r>
      <w:r w:rsidR="003A2CB6">
        <w:rPr>
          <w:rFonts w:cs="Verdana"/>
        </w:rPr>
        <w:t xml:space="preserve"> – </w:t>
      </w:r>
      <w:r w:rsidR="009964AC" w:rsidRPr="006B4515">
        <w:rPr>
          <w:rFonts w:cs="Verdana"/>
        </w:rPr>
        <w:t xml:space="preserve"> </w:t>
      </w:r>
      <w:r w:rsidR="003A2CB6">
        <w:rPr>
          <w:rFonts w:cs="Verdana"/>
        </w:rPr>
        <w:t xml:space="preserve">tzw. </w:t>
      </w:r>
      <w:r w:rsidR="009964AC" w:rsidRPr="006B4515">
        <w:rPr>
          <w:rFonts w:cs="Verdana"/>
        </w:rPr>
        <w:t>wytyczn</w:t>
      </w:r>
      <w:r w:rsidR="003A2CB6">
        <w:rPr>
          <w:rFonts w:cs="Verdana"/>
        </w:rPr>
        <w:t xml:space="preserve">e </w:t>
      </w:r>
      <w:r w:rsidR="009964AC" w:rsidRPr="006B4515">
        <w:rPr>
          <w:rFonts w:cs="Verdana"/>
        </w:rPr>
        <w:t>programow</w:t>
      </w:r>
      <w:r w:rsidR="003A2CB6">
        <w:rPr>
          <w:rFonts w:cs="Verdana"/>
        </w:rPr>
        <w:t>e</w:t>
      </w:r>
      <w:r w:rsidR="003F0BE3">
        <w:rPr>
          <w:rFonts w:cs="Verdana"/>
        </w:rPr>
        <w:t xml:space="preserve">, </w:t>
      </w:r>
      <w:r w:rsidR="003F0BE3" w:rsidRPr="00454E85">
        <w:rPr>
          <w:rFonts w:cs="Verdana"/>
        </w:rPr>
        <w:t>zgodne z wytycznymi horyzontalnymi</w:t>
      </w:r>
      <w:r w:rsidR="002C5B11" w:rsidRPr="00454E85">
        <w:rPr>
          <w:rFonts w:cs="Verdana"/>
        </w:rPr>
        <w:t>.</w:t>
      </w:r>
      <w:r w:rsidR="0020153F" w:rsidRPr="00454E85">
        <w:rPr>
          <w:rFonts w:cs="Verdana"/>
        </w:rPr>
        <w:t xml:space="preserve"> </w:t>
      </w:r>
    </w:p>
    <w:p w:rsidR="0020153F" w:rsidRPr="006B4515" w:rsidRDefault="0020153F" w:rsidP="00C10F6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</w:p>
    <w:p w:rsidR="002800FC" w:rsidRPr="002800FC" w:rsidRDefault="002800FC" w:rsidP="002800F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2800FC" w:rsidRDefault="00550BB3" w:rsidP="002800FC">
      <w:pPr>
        <w:autoSpaceDE w:val="0"/>
        <w:autoSpaceDN w:val="0"/>
        <w:adjustRightInd w:val="0"/>
        <w:spacing w:after="0" w:line="240" w:lineRule="auto"/>
        <w:jc w:val="both"/>
        <w:rPr>
          <w:rFonts w:cs="A"/>
        </w:rPr>
      </w:pPr>
      <w:r w:rsidRPr="006B4515">
        <w:rPr>
          <w:rFonts w:cs="Verdana"/>
        </w:rPr>
        <w:t>Wytyczne programowe obok p</w:t>
      </w:r>
      <w:r w:rsidR="0020153F" w:rsidRPr="006B4515">
        <w:rPr>
          <w:rFonts w:cs="Verdana"/>
        </w:rPr>
        <w:t>rzepis</w:t>
      </w:r>
      <w:r w:rsidRPr="006B4515">
        <w:rPr>
          <w:rFonts w:cs="Verdana"/>
        </w:rPr>
        <w:t>ów</w:t>
      </w:r>
      <w:r w:rsidR="0020153F" w:rsidRPr="006B4515">
        <w:rPr>
          <w:rFonts w:cs="Verdana"/>
        </w:rPr>
        <w:t xml:space="preserve"> prawa powszechnie obowiązującego, wytyczn</w:t>
      </w:r>
      <w:r w:rsidRPr="006B4515">
        <w:rPr>
          <w:rFonts w:cs="Verdana"/>
        </w:rPr>
        <w:t>ych</w:t>
      </w:r>
      <w:r w:rsidR="0020153F" w:rsidRPr="006B4515">
        <w:rPr>
          <w:rFonts w:cs="Verdana"/>
        </w:rPr>
        <w:t xml:space="preserve"> horyzontaln</w:t>
      </w:r>
      <w:r w:rsidRPr="006B4515">
        <w:rPr>
          <w:rFonts w:cs="Verdana"/>
        </w:rPr>
        <w:t>ych</w:t>
      </w:r>
      <w:r w:rsidR="0020153F" w:rsidRPr="006B4515">
        <w:rPr>
          <w:rFonts w:cs="Verdana"/>
        </w:rPr>
        <w:t xml:space="preserve"> oraz szczegółow</w:t>
      </w:r>
      <w:r w:rsidRPr="006B4515">
        <w:rPr>
          <w:rFonts w:cs="Verdana"/>
        </w:rPr>
        <w:t>ego</w:t>
      </w:r>
      <w:r w:rsidR="0020153F" w:rsidRPr="006B4515">
        <w:rPr>
          <w:rFonts w:cs="Verdana"/>
        </w:rPr>
        <w:t xml:space="preserve"> opis</w:t>
      </w:r>
      <w:r w:rsidRPr="006B4515">
        <w:rPr>
          <w:rFonts w:cs="Verdana"/>
        </w:rPr>
        <w:t>u</w:t>
      </w:r>
      <w:r w:rsidR="0020153F" w:rsidRPr="006B4515">
        <w:rPr>
          <w:rFonts w:cs="Verdana"/>
        </w:rPr>
        <w:t xml:space="preserve"> osi priorytetowych programu operacyjnego, opis</w:t>
      </w:r>
      <w:r w:rsidRPr="006B4515">
        <w:rPr>
          <w:rFonts w:cs="Verdana"/>
        </w:rPr>
        <w:t>u</w:t>
      </w:r>
      <w:r w:rsidR="0020153F" w:rsidRPr="006B4515">
        <w:rPr>
          <w:rFonts w:cs="Verdana"/>
        </w:rPr>
        <w:t xml:space="preserve"> systemu zarządzania i kontroli oraz instrukcj</w:t>
      </w:r>
      <w:r w:rsidR="00C7490E">
        <w:rPr>
          <w:rFonts w:cs="Verdana"/>
        </w:rPr>
        <w:t>i</w:t>
      </w:r>
      <w:r w:rsidR="0020153F" w:rsidRPr="006B4515">
        <w:rPr>
          <w:rFonts w:cs="Verdana"/>
        </w:rPr>
        <w:t xml:space="preserve"> wykonawcz</w:t>
      </w:r>
      <w:r w:rsidR="00C7490E">
        <w:rPr>
          <w:rFonts w:cs="Verdana"/>
        </w:rPr>
        <w:t>ych</w:t>
      </w:r>
      <w:r w:rsidR="0020153F" w:rsidRPr="006B4515">
        <w:rPr>
          <w:rFonts w:cs="Verdana"/>
        </w:rPr>
        <w:t xml:space="preserve"> zawierając</w:t>
      </w:r>
      <w:r w:rsidR="00C7490E">
        <w:rPr>
          <w:rFonts w:cs="Verdana"/>
        </w:rPr>
        <w:t>ych</w:t>
      </w:r>
      <w:r w:rsidR="0020153F" w:rsidRPr="006B4515">
        <w:rPr>
          <w:rFonts w:cs="Verdana"/>
        </w:rPr>
        <w:t xml:space="preserve"> procedury działania IZ RPO WD/IP RPO WD stanowią podstawę systemu realizacji programu operacyjnego</w:t>
      </w:r>
      <w:r w:rsidR="002800FC">
        <w:rPr>
          <w:rFonts w:cs="Verdana"/>
        </w:rPr>
        <w:t xml:space="preserve"> i </w:t>
      </w:r>
      <w:r w:rsidR="002800FC" w:rsidRPr="002800FC">
        <w:rPr>
          <w:rFonts w:cs="A"/>
        </w:rPr>
        <w:t>skierowane są do instytucji uczestniczących w realizacji programów operacyjnych oraz stosowane przez te instytucje na podstawie właś</w:t>
      </w:r>
      <w:r w:rsidR="0040430E">
        <w:rPr>
          <w:rFonts w:cs="A"/>
        </w:rPr>
        <w:t>ciwego porozumienia oraz przez B</w:t>
      </w:r>
      <w:r w:rsidR="002800FC" w:rsidRPr="002800FC">
        <w:rPr>
          <w:rFonts w:cs="A"/>
        </w:rPr>
        <w:t>eneficjentów na podstawie umowy o</w:t>
      </w:r>
      <w:r w:rsidR="00BF7A1E">
        <w:rPr>
          <w:rFonts w:cs="A"/>
        </w:rPr>
        <w:t> </w:t>
      </w:r>
      <w:r w:rsidR="002800FC" w:rsidRPr="002800FC">
        <w:rPr>
          <w:rFonts w:cs="A"/>
        </w:rPr>
        <w:t>dofinansowanie projektu albo decyzji o dofinansowaniu projektu.</w:t>
      </w:r>
    </w:p>
    <w:p w:rsidR="00D82864" w:rsidRPr="006B4515" w:rsidRDefault="00D82864" w:rsidP="00C10F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18241A" w:rsidRPr="006B4515" w:rsidRDefault="00870C75" w:rsidP="00C10F6C">
      <w:pPr>
        <w:tabs>
          <w:tab w:val="left" w:pos="5330"/>
        </w:tabs>
        <w:spacing w:line="240" w:lineRule="auto"/>
        <w:jc w:val="both"/>
        <w:rPr>
          <w:rFonts w:cs="Arial"/>
          <w:color w:val="000000"/>
        </w:rPr>
      </w:pPr>
      <w:r w:rsidRPr="006B4515">
        <w:rPr>
          <w:rFonts w:cs="Arial"/>
          <w:color w:val="000000"/>
        </w:rPr>
        <w:t xml:space="preserve">Warunki, o których mowa w niniejszych </w:t>
      </w:r>
      <w:r w:rsidR="00170946" w:rsidRPr="006B4515">
        <w:rPr>
          <w:rFonts w:cs="Arial"/>
          <w:color w:val="000000"/>
        </w:rPr>
        <w:t>zasada</w:t>
      </w:r>
      <w:r w:rsidRPr="006B4515">
        <w:rPr>
          <w:rFonts w:cs="Arial"/>
          <w:color w:val="000000"/>
        </w:rPr>
        <w:t>ch, są zgodne</w:t>
      </w:r>
      <w:r w:rsidR="009F7CF2" w:rsidRPr="006B4515">
        <w:rPr>
          <w:rFonts w:cs="Arial"/>
          <w:color w:val="000000"/>
        </w:rPr>
        <w:t xml:space="preserve"> w szczególności</w:t>
      </w:r>
      <w:r w:rsidRPr="006B4515">
        <w:rPr>
          <w:rFonts w:cs="Arial"/>
          <w:color w:val="000000"/>
        </w:rPr>
        <w:t xml:space="preserve"> z:</w:t>
      </w:r>
    </w:p>
    <w:p w:rsidR="00170946" w:rsidRPr="006B4515" w:rsidRDefault="00170946" w:rsidP="00C10F6C">
      <w:pPr>
        <w:tabs>
          <w:tab w:val="left" w:pos="5330"/>
        </w:tabs>
        <w:spacing w:line="240" w:lineRule="auto"/>
        <w:jc w:val="both"/>
      </w:pPr>
      <w:r w:rsidRPr="006B4515">
        <w:t xml:space="preserve">a) przepisami Rozdziału III </w:t>
      </w:r>
      <w:r w:rsidRPr="006B4515">
        <w:rPr>
          <w:i/>
          <w:iCs/>
        </w:rPr>
        <w:t xml:space="preserve">Kwalifikowalność wydatków i trwałość </w:t>
      </w:r>
      <w:r w:rsidRPr="006B4515">
        <w:t xml:space="preserve">w Tytule VII </w:t>
      </w:r>
      <w:r w:rsidRPr="006B4515">
        <w:rPr>
          <w:i/>
          <w:iCs/>
        </w:rPr>
        <w:t>Wsparcie finansowe z</w:t>
      </w:r>
      <w:r w:rsidR="00C963D4">
        <w:rPr>
          <w:i/>
          <w:iCs/>
        </w:rPr>
        <w:t> </w:t>
      </w:r>
      <w:r w:rsidRPr="006B4515">
        <w:rPr>
          <w:i/>
          <w:iCs/>
        </w:rPr>
        <w:t xml:space="preserve">EFSI </w:t>
      </w:r>
      <w:r w:rsidRPr="006B4515"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C963D4">
        <w:t> </w:t>
      </w:r>
      <w:r w:rsidRPr="006B4515">
        <w:t>Rybackiego oraz uchylającego rozporządzenie Rady (WE) nr 1083/2006 (Dz. Urz. UE L 347 z</w:t>
      </w:r>
      <w:r w:rsidR="00C963D4">
        <w:t> </w:t>
      </w:r>
      <w:r w:rsidRPr="006B4515">
        <w:t xml:space="preserve">20.12.2013, str. 320, z późn. zm.), </w:t>
      </w:r>
      <w:r w:rsidR="00BB6C1F" w:rsidRPr="006B4515">
        <w:t>[</w:t>
      </w:r>
      <w:r w:rsidRPr="006B4515">
        <w:t>„rozporządzenie</w:t>
      </w:r>
      <w:r w:rsidR="002C5B11">
        <w:t>m</w:t>
      </w:r>
      <w:r w:rsidR="00C963D4">
        <w:t xml:space="preserve"> ogóln</w:t>
      </w:r>
      <w:r w:rsidR="002C5B11">
        <w:t>ym</w:t>
      </w:r>
      <w:r w:rsidRPr="006B4515">
        <w:t>”</w:t>
      </w:r>
      <w:r w:rsidR="00BB6C1F" w:rsidRPr="006B4515">
        <w:t>]</w:t>
      </w:r>
      <w:r w:rsidRPr="006B4515">
        <w:t xml:space="preserve">, </w:t>
      </w:r>
    </w:p>
    <w:p w:rsidR="00F02060" w:rsidRPr="006B4515" w:rsidRDefault="00170946" w:rsidP="00C10F6C">
      <w:pPr>
        <w:tabs>
          <w:tab w:val="left" w:pos="5330"/>
        </w:tabs>
        <w:spacing w:line="240" w:lineRule="auto"/>
        <w:jc w:val="both"/>
      </w:pPr>
      <w:r w:rsidRPr="006B4515">
        <w:t>b) rozporządzeniem Parlamentu Europejskiego i Rady (UE) nr 1301/2013 z dnia 17 grudnia 2013 r. w</w:t>
      </w:r>
      <w:r w:rsidR="00BF7A1E">
        <w:t> </w:t>
      </w:r>
      <w:r w:rsidRPr="006B4515">
        <w:t>sprawie Europejskiego Funduszu Rozwoju Regionalnego</w:t>
      </w:r>
      <w:r w:rsidR="00F02060" w:rsidRPr="006B4515">
        <w:rPr>
          <w:rFonts w:cs="Arial"/>
          <w:color w:val="000000"/>
        </w:rPr>
        <w:t xml:space="preserve"> </w:t>
      </w:r>
      <w:r w:rsidR="00F02060" w:rsidRPr="006B4515">
        <w:t xml:space="preserve">i przepisów szczególnych dotyczących celu „Inwestycje na rzecz wzrostu i zatrudnienia” oraz w sprawie uchylenia rozporządzenia (WE) nr 1080/2006 (Dz. Urz. UE L 347 z 20.12.2013, str. 289) </w:t>
      </w:r>
      <w:r w:rsidR="00BB6C1F" w:rsidRPr="006B4515">
        <w:t>[</w:t>
      </w:r>
      <w:r w:rsidR="00F02060" w:rsidRPr="006B4515">
        <w:t>„rozporządzenie</w:t>
      </w:r>
      <w:r w:rsidR="002C5B11">
        <w:t>m</w:t>
      </w:r>
      <w:r w:rsidR="00F02060" w:rsidRPr="006B4515">
        <w:t xml:space="preserve"> EFRR”</w:t>
      </w:r>
      <w:r w:rsidR="00BB6C1F" w:rsidRPr="006B4515">
        <w:t>]</w:t>
      </w:r>
      <w:r w:rsidR="00F02060" w:rsidRPr="006B4515">
        <w:t xml:space="preserve">, </w:t>
      </w:r>
    </w:p>
    <w:p w:rsidR="00BB6C1F" w:rsidRPr="006B4515" w:rsidRDefault="002C5B11" w:rsidP="00C10F6C">
      <w:pPr>
        <w:tabs>
          <w:tab w:val="left" w:pos="5330"/>
        </w:tabs>
        <w:spacing w:line="240" w:lineRule="auto"/>
        <w:jc w:val="both"/>
      </w:pPr>
      <w:r>
        <w:t>c</w:t>
      </w:r>
      <w:r w:rsidR="00BB6C1F" w:rsidRPr="006B4515">
        <w:t>) „</w:t>
      </w:r>
      <w:r w:rsidR="00BB6C1F" w:rsidRPr="006B4515">
        <w:rPr>
          <w:i/>
        </w:rPr>
        <w:t>Wytycznymi w zakresie kwalifikowalności wydatków w ramach Europejskiego Funduszu Rozwoju Regionalnego, Europejskiego Funduszu Społecznego oraz Funduszu Spójności na lata 2014-2020”</w:t>
      </w:r>
      <w:r w:rsidR="00BB6C1F" w:rsidRPr="006B4515">
        <w:t xml:space="preserve"> [</w:t>
      </w:r>
      <w:r w:rsidR="002E4C4C">
        <w:t xml:space="preserve">dalej: </w:t>
      </w:r>
      <w:r w:rsidR="00BB6C1F" w:rsidRPr="006B4515">
        <w:t>„wytycznymi horyzontalnymi”],</w:t>
      </w:r>
    </w:p>
    <w:p w:rsidR="000C3A67" w:rsidRPr="006B4515" w:rsidRDefault="000C3A67" w:rsidP="00C10F6C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B4515">
        <w:rPr>
          <w:rFonts w:asciiTheme="minorHAnsi" w:hAnsiTheme="minorHAnsi"/>
          <w:b/>
          <w:bCs/>
          <w:sz w:val="22"/>
          <w:szCs w:val="22"/>
        </w:rPr>
        <w:t>3. Cel</w:t>
      </w:r>
      <w:r w:rsidR="002800FC">
        <w:rPr>
          <w:rFonts w:asciiTheme="minorHAnsi" w:hAnsiTheme="minorHAnsi"/>
          <w:b/>
          <w:bCs/>
          <w:sz w:val="22"/>
          <w:szCs w:val="22"/>
        </w:rPr>
        <w:t xml:space="preserve"> i</w:t>
      </w:r>
      <w:r w:rsidRPr="006B4515">
        <w:rPr>
          <w:rFonts w:asciiTheme="minorHAnsi" w:hAnsiTheme="minorHAnsi"/>
          <w:b/>
          <w:bCs/>
          <w:sz w:val="22"/>
          <w:szCs w:val="22"/>
        </w:rPr>
        <w:t xml:space="preserve"> zakres regulacji</w:t>
      </w:r>
      <w:r w:rsidR="009178E4" w:rsidRPr="006B4515">
        <w:rPr>
          <w:rFonts w:asciiTheme="minorHAnsi" w:hAnsiTheme="minorHAnsi"/>
          <w:b/>
          <w:bCs/>
          <w:sz w:val="22"/>
          <w:szCs w:val="22"/>
        </w:rPr>
        <w:t xml:space="preserve"> oraz obowiązywania </w:t>
      </w:r>
      <w:r w:rsidR="002800FC">
        <w:rPr>
          <w:rFonts w:asciiTheme="minorHAnsi" w:hAnsiTheme="minorHAnsi"/>
          <w:b/>
          <w:bCs/>
          <w:sz w:val="22"/>
          <w:szCs w:val="22"/>
        </w:rPr>
        <w:t>w</w:t>
      </w:r>
      <w:r w:rsidR="002C5B11" w:rsidRPr="002800FC">
        <w:rPr>
          <w:rFonts w:asciiTheme="minorHAnsi" w:hAnsiTheme="minorHAnsi"/>
          <w:b/>
          <w:bCs/>
          <w:sz w:val="22"/>
          <w:szCs w:val="22"/>
        </w:rPr>
        <w:t>ytycznych</w:t>
      </w:r>
      <w:r w:rsidRPr="006B4515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</w:p>
    <w:p w:rsidR="009F7CF2" w:rsidRPr="006B4515" w:rsidRDefault="009F7CF2" w:rsidP="00C10F6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67983" w:rsidRPr="006B4515" w:rsidRDefault="00267983" w:rsidP="00267983">
      <w:pPr>
        <w:autoSpaceDE w:val="0"/>
        <w:autoSpaceDN w:val="0"/>
        <w:adjustRightInd w:val="0"/>
        <w:spacing w:after="0" w:line="240" w:lineRule="auto"/>
        <w:jc w:val="both"/>
      </w:pPr>
      <w:r w:rsidRPr="006B4515">
        <w:rPr>
          <w:b/>
        </w:rPr>
        <w:t xml:space="preserve">Podstawowym dokumentem w zakresie kwalifikowalności wydatków w RPO WD 2014-2020 są </w:t>
      </w:r>
      <w:r w:rsidR="002C5B11">
        <w:rPr>
          <w:b/>
        </w:rPr>
        <w:t>wytyczne horyzontalne – „</w:t>
      </w:r>
      <w:r w:rsidRPr="006B4515">
        <w:rPr>
          <w:b/>
          <w:i/>
        </w:rPr>
        <w:t xml:space="preserve">Wytyczne w zakresie kwalifikowalności wydatków w ramach </w:t>
      </w:r>
      <w:r w:rsidRPr="006B4515">
        <w:rPr>
          <w:b/>
          <w:i/>
        </w:rPr>
        <w:lastRenderedPageBreak/>
        <w:t>Europejskiego Funduszu Rozwoju Regionalnego, Europejskiego Funduszu Społecznego oraz Funduszu Spójności na lata 2014-2020</w:t>
      </w:r>
      <w:r w:rsidR="002C5B11">
        <w:rPr>
          <w:b/>
          <w:i/>
        </w:rPr>
        <w:t>”</w:t>
      </w:r>
      <w:r w:rsidRPr="006B4515">
        <w:rPr>
          <w:b/>
        </w:rPr>
        <w:t xml:space="preserve"> wydane przez Ministra Infrastruktury i Rozwoju.</w:t>
      </w:r>
      <w:r w:rsidRPr="006B4515">
        <w:t xml:space="preserve"> </w:t>
      </w:r>
      <w:r w:rsidRPr="006B4515">
        <w:rPr>
          <w:b/>
        </w:rPr>
        <w:t xml:space="preserve">Oznacza to, że zapisy </w:t>
      </w:r>
      <w:r w:rsidR="002C5B11">
        <w:rPr>
          <w:b/>
        </w:rPr>
        <w:t xml:space="preserve">ww. </w:t>
      </w:r>
      <w:r w:rsidRPr="006B4515">
        <w:rPr>
          <w:b/>
        </w:rPr>
        <w:t xml:space="preserve">wytycznych horyzontalnych mają bezpośrednie zastosowanie we wdrażaniu RPO WD 2014-2020 (w części finansowanej z EFRR), z zastrzeżeniem zapisów niniejszych </w:t>
      </w:r>
      <w:r w:rsidR="002800FC">
        <w:rPr>
          <w:b/>
        </w:rPr>
        <w:t>wytycznych</w:t>
      </w:r>
      <w:r w:rsidRPr="006B4515">
        <w:rPr>
          <w:b/>
        </w:rPr>
        <w:t xml:space="preserve"> który zawiera dodatkowe ograniczenia lub wskazuje na niekwalifikowalność w zakresie poszczególnych kategorii wydatków </w:t>
      </w:r>
      <w:r w:rsidRPr="002C5B11">
        <w:rPr>
          <w:b/>
        </w:rPr>
        <w:t>wiążące dla Wnioskodawców i Beneficjentów</w:t>
      </w:r>
      <w:r w:rsidRPr="006B4515">
        <w:rPr>
          <w:b/>
        </w:rPr>
        <w:t xml:space="preserve"> RPO WD 2014-2020.</w:t>
      </w:r>
      <w:r w:rsidRPr="006B4515">
        <w:t xml:space="preserve"> </w:t>
      </w:r>
    </w:p>
    <w:p w:rsidR="000D0C61" w:rsidRPr="006B4515" w:rsidRDefault="000D0C61" w:rsidP="00C10F6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67983" w:rsidRPr="006B4515" w:rsidRDefault="000F49C6" w:rsidP="002E4C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cs="Arial"/>
          <w:color w:val="000000"/>
        </w:rPr>
      </w:pPr>
      <w:r w:rsidRPr="006B4515">
        <w:rPr>
          <w:rFonts w:cs="Arial"/>
          <w:color w:val="000000"/>
        </w:rPr>
        <w:t xml:space="preserve">Niniejsze </w:t>
      </w:r>
      <w:r w:rsidR="002800FC" w:rsidRPr="002800FC">
        <w:rPr>
          <w:rFonts w:cs="Arial"/>
          <w:color w:val="000000"/>
        </w:rPr>
        <w:t>w</w:t>
      </w:r>
      <w:r w:rsidR="002E4C4C" w:rsidRPr="002800FC">
        <w:rPr>
          <w:rFonts w:cs="Arial"/>
          <w:color w:val="000000"/>
        </w:rPr>
        <w:t>ytyczne</w:t>
      </w:r>
      <w:r w:rsidRPr="006B4515">
        <w:rPr>
          <w:rFonts w:cs="Arial"/>
          <w:color w:val="000000"/>
        </w:rPr>
        <w:t xml:space="preserve"> są zgodne z postanowieniami </w:t>
      </w:r>
      <w:r w:rsidR="002E4C4C">
        <w:rPr>
          <w:rFonts w:cs="Arial"/>
          <w:color w:val="000000"/>
        </w:rPr>
        <w:t>„</w:t>
      </w:r>
      <w:r w:rsidRPr="006B4515">
        <w:rPr>
          <w:rFonts w:cs="Arial"/>
          <w:i/>
          <w:iCs/>
          <w:color w:val="000000"/>
        </w:rPr>
        <w:t>Wytycznych Ministra Infrastruktury i</w:t>
      </w:r>
      <w:r w:rsidR="0048731C">
        <w:rPr>
          <w:rFonts w:cs="Arial"/>
          <w:i/>
          <w:iCs/>
          <w:color w:val="000000"/>
        </w:rPr>
        <w:t> </w:t>
      </w:r>
      <w:r w:rsidRPr="006B4515">
        <w:rPr>
          <w:rFonts w:cs="Arial"/>
          <w:i/>
          <w:iCs/>
          <w:color w:val="000000"/>
        </w:rPr>
        <w:t>Rozwoju w zakresie kwalifikowalności wydatków w ramach Europejskiego Funduszu Rozwoju Regionalnego, Europejskiego Funduszu Społecznego oraz Funduszu Spójności na lata 2014 – 2020</w:t>
      </w:r>
      <w:r w:rsidR="002E4C4C">
        <w:rPr>
          <w:rFonts w:cs="Arial"/>
          <w:i/>
          <w:iCs/>
          <w:color w:val="000000"/>
        </w:rPr>
        <w:t>”</w:t>
      </w:r>
      <w:r w:rsidRPr="006B4515">
        <w:rPr>
          <w:rFonts w:cs="Arial"/>
          <w:color w:val="000000"/>
        </w:rPr>
        <w:t xml:space="preserve"> </w:t>
      </w:r>
      <w:r w:rsidR="00267983" w:rsidRPr="006B4515">
        <w:t>i stanowią ich uszczegółowienie.</w:t>
      </w:r>
    </w:p>
    <w:p w:rsidR="000F49C6" w:rsidRPr="006B4515" w:rsidRDefault="002800FC" w:rsidP="00267983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W</w:t>
      </w:r>
      <w:r w:rsidRPr="002800FC">
        <w:rPr>
          <w:rFonts w:asciiTheme="minorHAnsi" w:hAnsiTheme="minorHAnsi"/>
          <w:iCs/>
          <w:sz w:val="22"/>
          <w:szCs w:val="22"/>
        </w:rPr>
        <w:t xml:space="preserve">ytyczne </w:t>
      </w:r>
      <w:r w:rsidR="000D0C61" w:rsidRPr="006B4515">
        <w:rPr>
          <w:rFonts w:asciiTheme="minorHAnsi" w:hAnsiTheme="minorHAnsi"/>
          <w:sz w:val="22"/>
          <w:szCs w:val="22"/>
        </w:rPr>
        <w:t>mają zastosowanie do wydatków ponoszonych zarówno w ramach współfinansowania krajowego (w tym wkładu własnego), jak i ze środków unijnych w ramach realizacji projektu współfinansowanego z Europejskiego Funduszu Rozwoju Regionalnego (EFRR) w ramach RPO WD</w:t>
      </w:r>
      <w:r w:rsidR="00C10F6C" w:rsidRPr="006B4515">
        <w:rPr>
          <w:rFonts w:asciiTheme="minorHAnsi" w:hAnsiTheme="minorHAnsi"/>
          <w:sz w:val="22"/>
          <w:szCs w:val="22"/>
        </w:rPr>
        <w:t xml:space="preserve"> (wyłącznie w ramach Osi Priorytetowych 1 – 7)</w:t>
      </w:r>
      <w:r w:rsidR="000D0C61" w:rsidRPr="006B4515">
        <w:rPr>
          <w:rFonts w:asciiTheme="minorHAnsi" w:hAnsiTheme="minorHAnsi"/>
          <w:sz w:val="22"/>
          <w:szCs w:val="22"/>
        </w:rPr>
        <w:t>.</w:t>
      </w:r>
      <w:r w:rsidR="000F49C6" w:rsidRPr="006B4515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:rsidR="000F49C6" w:rsidRPr="006B4515" w:rsidRDefault="002800FC" w:rsidP="00267983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800FC">
        <w:rPr>
          <w:rFonts w:asciiTheme="minorHAnsi" w:hAnsiTheme="minorHAnsi"/>
          <w:iCs/>
          <w:sz w:val="22"/>
          <w:szCs w:val="22"/>
        </w:rPr>
        <w:t>Wytyczne</w:t>
      </w:r>
      <w:r w:rsidR="000F49C6" w:rsidRPr="006B4515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0F49C6" w:rsidRPr="006B4515">
        <w:rPr>
          <w:rFonts w:asciiTheme="minorHAnsi" w:hAnsiTheme="minorHAnsi"/>
          <w:sz w:val="22"/>
          <w:szCs w:val="22"/>
        </w:rPr>
        <w:t xml:space="preserve">nie mają zastosowania do instrumentów </w:t>
      </w:r>
      <w:r w:rsidR="008C55F5">
        <w:rPr>
          <w:rFonts w:asciiTheme="minorHAnsi" w:hAnsiTheme="minorHAnsi"/>
          <w:sz w:val="22"/>
          <w:szCs w:val="22"/>
        </w:rPr>
        <w:t>finansowych</w:t>
      </w:r>
      <w:r w:rsidR="000F49C6" w:rsidRPr="006B4515">
        <w:rPr>
          <w:rFonts w:asciiTheme="minorHAnsi" w:hAnsiTheme="minorHAnsi"/>
          <w:sz w:val="22"/>
          <w:szCs w:val="22"/>
        </w:rPr>
        <w:t xml:space="preserve">. </w:t>
      </w:r>
      <w:r w:rsidR="000D0C61" w:rsidRPr="006B4515">
        <w:rPr>
          <w:rFonts w:asciiTheme="minorHAnsi" w:hAnsiTheme="minorHAnsi"/>
          <w:sz w:val="22"/>
          <w:szCs w:val="22"/>
        </w:rPr>
        <w:t xml:space="preserve"> </w:t>
      </w:r>
    </w:p>
    <w:p w:rsidR="00267983" w:rsidRPr="006B4515" w:rsidRDefault="000D0C61" w:rsidP="00267983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B4515">
        <w:rPr>
          <w:rFonts w:asciiTheme="minorHAnsi" w:hAnsiTheme="minorHAnsi"/>
          <w:sz w:val="22"/>
          <w:szCs w:val="22"/>
        </w:rPr>
        <w:t>W przypadku projektów objętych zasadami pomocy publicznej – w rozumieniu Traktatu o</w:t>
      </w:r>
      <w:r w:rsidR="003F3E56">
        <w:rPr>
          <w:rFonts w:asciiTheme="minorHAnsi" w:hAnsiTheme="minorHAnsi"/>
          <w:sz w:val="22"/>
          <w:szCs w:val="22"/>
        </w:rPr>
        <w:t> </w:t>
      </w:r>
      <w:r w:rsidRPr="006B4515">
        <w:rPr>
          <w:rFonts w:asciiTheme="minorHAnsi" w:hAnsiTheme="minorHAnsi"/>
          <w:sz w:val="22"/>
          <w:szCs w:val="22"/>
        </w:rPr>
        <w:t xml:space="preserve">funkcjonowaniu Unii Europejskiej (art. 93, art. 106 ust. 2, art. 107 ust. 2 i 3) za kwalifikowalne uznaje się tylko te wydatki, które spełniają łącznie warunki określone w </w:t>
      </w:r>
      <w:r w:rsidR="002800FC">
        <w:rPr>
          <w:rFonts w:asciiTheme="minorHAnsi" w:hAnsiTheme="minorHAnsi"/>
          <w:iCs/>
          <w:sz w:val="22"/>
          <w:szCs w:val="22"/>
        </w:rPr>
        <w:t>w</w:t>
      </w:r>
      <w:r w:rsidR="0048731C" w:rsidRPr="002800FC">
        <w:rPr>
          <w:rFonts w:asciiTheme="minorHAnsi" w:hAnsiTheme="minorHAnsi"/>
          <w:iCs/>
          <w:sz w:val="22"/>
          <w:szCs w:val="22"/>
        </w:rPr>
        <w:t>ytyczny</w:t>
      </w:r>
      <w:r w:rsidRPr="002800FC">
        <w:rPr>
          <w:rFonts w:asciiTheme="minorHAnsi" w:hAnsiTheme="minorHAnsi"/>
          <w:iCs/>
          <w:sz w:val="22"/>
          <w:szCs w:val="22"/>
        </w:rPr>
        <w:t>ch</w:t>
      </w:r>
      <w:r w:rsidRPr="006B4515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6B4515">
        <w:rPr>
          <w:rFonts w:asciiTheme="minorHAnsi" w:hAnsiTheme="minorHAnsi"/>
          <w:sz w:val="22"/>
          <w:szCs w:val="22"/>
        </w:rPr>
        <w:t>i warunki wynikające z odpowiednich regulacji w zakresie pomocy publicznej, przyjętych na poziomie unijnym lub krajowym</w:t>
      </w:r>
      <w:r w:rsidR="00420900" w:rsidRPr="006B4515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="00420900" w:rsidRPr="006B4515">
        <w:rPr>
          <w:rFonts w:asciiTheme="minorHAnsi" w:hAnsiTheme="minorHAnsi"/>
          <w:sz w:val="22"/>
          <w:szCs w:val="22"/>
        </w:rPr>
        <w:t>. W</w:t>
      </w:r>
      <w:r w:rsidR="00267983" w:rsidRPr="006B4515">
        <w:rPr>
          <w:rFonts w:asciiTheme="minorHAnsi" w:hAnsiTheme="minorHAnsi"/>
          <w:sz w:val="22"/>
          <w:szCs w:val="22"/>
        </w:rPr>
        <w:t xml:space="preserve"> szcze</w:t>
      </w:r>
      <w:r w:rsidR="00420900" w:rsidRPr="006B4515">
        <w:rPr>
          <w:rFonts w:asciiTheme="minorHAnsi" w:hAnsiTheme="minorHAnsi"/>
          <w:sz w:val="22"/>
          <w:szCs w:val="22"/>
        </w:rPr>
        <w:t xml:space="preserve">gólności </w:t>
      </w:r>
      <w:r w:rsidR="00420900" w:rsidRPr="006B4515">
        <w:rPr>
          <w:rFonts w:asciiTheme="minorHAnsi" w:hAnsiTheme="minorHAnsi"/>
          <w:bCs/>
          <w:sz w:val="22"/>
          <w:szCs w:val="22"/>
        </w:rPr>
        <w:t xml:space="preserve">należy mieć dodatkowo na uwadze </w:t>
      </w:r>
      <w:r w:rsidR="00267983" w:rsidRPr="006B4515">
        <w:rPr>
          <w:rFonts w:asciiTheme="minorHAnsi" w:hAnsiTheme="minorHAnsi"/>
          <w:sz w:val="22"/>
          <w:szCs w:val="22"/>
        </w:rPr>
        <w:t>m.in.</w:t>
      </w:r>
      <w:r w:rsidR="00420900" w:rsidRPr="006B4515">
        <w:rPr>
          <w:rFonts w:asciiTheme="minorHAnsi" w:hAnsiTheme="minorHAnsi"/>
          <w:sz w:val="22"/>
          <w:szCs w:val="22"/>
        </w:rPr>
        <w:t>:</w:t>
      </w:r>
    </w:p>
    <w:p w:rsidR="00267983" w:rsidRPr="006B4515" w:rsidRDefault="00267983" w:rsidP="003F3E56">
      <w:pPr>
        <w:pStyle w:val="Default"/>
        <w:numPr>
          <w:ilvl w:val="0"/>
          <w:numId w:val="5"/>
        </w:numPr>
        <w:ind w:left="426" w:hanging="284"/>
        <w:jc w:val="both"/>
        <w:rPr>
          <w:rFonts w:asciiTheme="minorHAnsi" w:hAnsiTheme="minorHAnsi"/>
          <w:sz w:val="22"/>
          <w:szCs w:val="22"/>
        </w:rPr>
      </w:pPr>
      <w:r w:rsidRPr="006B4515">
        <w:rPr>
          <w:rFonts w:asciiTheme="minorHAnsi" w:hAnsiTheme="minorHAnsi"/>
          <w:sz w:val="22"/>
          <w:szCs w:val="22"/>
        </w:rPr>
        <w:t xml:space="preserve">rozporządzenie Komisji (UE) nr 651/2014 z dnia 17 czerwca 2014 r. uznające niektóre rodzaje pomocy za zgodne z rynkiem wewnętrznym w zastosowaniu art. 107 i 108 Traktatu (Dz. Urz. UE L 187/1 z 26.6.2014, str. 1), </w:t>
      </w:r>
    </w:p>
    <w:p w:rsidR="00267983" w:rsidRPr="006B4515" w:rsidRDefault="00267983" w:rsidP="003F3E56">
      <w:pPr>
        <w:pStyle w:val="Default"/>
        <w:numPr>
          <w:ilvl w:val="0"/>
          <w:numId w:val="5"/>
        </w:numPr>
        <w:ind w:left="426" w:hanging="284"/>
        <w:jc w:val="both"/>
        <w:rPr>
          <w:rFonts w:asciiTheme="minorHAnsi" w:hAnsiTheme="minorHAnsi"/>
          <w:sz w:val="22"/>
          <w:szCs w:val="22"/>
        </w:rPr>
      </w:pPr>
      <w:r w:rsidRPr="006B4515">
        <w:rPr>
          <w:rFonts w:asciiTheme="minorHAnsi" w:hAnsiTheme="minorHAnsi"/>
          <w:sz w:val="22"/>
          <w:szCs w:val="22"/>
        </w:rPr>
        <w:t>rozporządzenie Parlamentu Europejskiego i Rady nr 1370/2007 z 23 października 2007 r. dotyczące usług publicznych w zakresie kolejowego i drogowego transportu pasażerskiego oraz uchylające rozporządzenia Rady (EWG) nr 1191/69 i (EWG) nr 1107/70 (Dz. Urz. L 315/1 z</w:t>
      </w:r>
      <w:r w:rsidR="00BF7A1E">
        <w:rPr>
          <w:rFonts w:asciiTheme="minorHAnsi" w:hAnsiTheme="minorHAnsi"/>
          <w:sz w:val="22"/>
          <w:szCs w:val="22"/>
        </w:rPr>
        <w:t> </w:t>
      </w:r>
      <w:r w:rsidRPr="006B4515">
        <w:rPr>
          <w:rFonts w:asciiTheme="minorHAnsi" w:hAnsiTheme="minorHAnsi"/>
          <w:sz w:val="22"/>
          <w:szCs w:val="22"/>
        </w:rPr>
        <w:t xml:space="preserve">3.12.2007, str. 1), </w:t>
      </w:r>
    </w:p>
    <w:p w:rsidR="00267983" w:rsidRPr="006B4515" w:rsidRDefault="00267983" w:rsidP="003F3E56">
      <w:pPr>
        <w:pStyle w:val="Default"/>
        <w:numPr>
          <w:ilvl w:val="0"/>
          <w:numId w:val="5"/>
        </w:numPr>
        <w:ind w:left="426" w:hanging="284"/>
        <w:jc w:val="both"/>
        <w:rPr>
          <w:rFonts w:asciiTheme="minorHAnsi" w:hAnsiTheme="minorHAnsi"/>
          <w:sz w:val="22"/>
          <w:szCs w:val="22"/>
        </w:rPr>
      </w:pPr>
      <w:r w:rsidRPr="006B4515">
        <w:rPr>
          <w:rFonts w:asciiTheme="minorHAnsi" w:hAnsiTheme="minorHAnsi"/>
          <w:sz w:val="22"/>
          <w:szCs w:val="22"/>
        </w:rPr>
        <w:t xml:space="preserve">decyzję Komisji z 20 grudnia 2011 r. w sprawie stosowania art. 106 ust. 2 Traktatu o funkcjonowaniu Unii Europejskiej do pomocy państwa w formie rekompensaty z tytułu świadczenia usług publicznych, przyznanej przedsiębiorstwom zobowiązanym do wykonywania usług świadczonych w ogólnym interesie gospodarczym (Dz. Urz. UE L 7/3 z 11.1.2012, str. 3). </w:t>
      </w:r>
    </w:p>
    <w:p w:rsidR="00267983" w:rsidRPr="006B4515" w:rsidRDefault="00267983" w:rsidP="0026798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:rsidR="000F49C6" w:rsidRPr="006B4515" w:rsidRDefault="000D0C61" w:rsidP="0026798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  <w:r w:rsidRPr="006B4515">
        <w:rPr>
          <w:rFonts w:asciiTheme="minorHAnsi" w:hAnsiTheme="minorHAnsi"/>
          <w:sz w:val="22"/>
          <w:szCs w:val="22"/>
        </w:rPr>
        <w:t xml:space="preserve">Do celów </w:t>
      </w:r>
      <w:r w:rsidR="002800FC" w:rsidRPr="002800FC">
        <w:rPr>
          <w:rFonts w:asciiTheme="minorHAnsi" w:hAnsiTheme="minorHAnsi"/>
          <w:iCs/>
          <w:sz w:val="22"/>
          <w:szCs w:val="22"/>
        </w:rPr>
        <w:t>w</w:t>
      </w:r>
      <w:r w:rsidR="0048731C" w:rsidRPr="002800FC">
        <w:rPr>
          <w:rFonts w:asciiTheme="minorHAnsi" w:hAnsiTheme="minorHAnsi"/>
          <w:iCs/>
          <w:sz w:val="22"/>
          <w:szCs w:val="22"/>
        </w:rPr>
        <w:t>ytycznych</w:t>
      </w:r>
      <w:r w:rsidRPr="006B4515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6B4515">
        <w:rPr>
          <w:rFonts w:asciiTheme="minorHAnsi" w:hAnsiTheme="minorHAnsi"/>
          <w:sz w:val="22"/>
          <w:szCs w:val="22"/>
        </w:rPr>
        <w:t xml:space="preserve">uznaje się, że pomoc publiczna obejmuje także pomoc </w:t>
      </w:r>
      <w:r w:rsidRPr="006B4515">
        <w:rPr>
          <w:rFonts w:asciiTheme="minorHAnsi" w:hAnsiTheme="minorHAnsi"/>
          <w:i/>
          <w:iCs/>
          <w:sz w:val="22"/>
          <w:szCs w:val="22"/>
        </w:rPr>
        <w:t xml:space="preserve">de </w:t>
      </w:r>
      <w:proofErr w:type="spellStart"/>
      <w:r w:rsidRPr="006B4515">
        <w:rPr>
          <w:rFonts w:asciiTheme="minorHAnsi" w:hAnsiTheme="minorHAnsi"/>
          <w:i/>
          <w:iCs/>
          <w:sz w:val="22"/>
          <w:szCs w:val="22"/>
        </w:rPr>
        <w:t>minimis</w:t>
      </w:r>
      <w:proofErr w:type="spellEnd"/>
      <w:r w:rsidR="003F0BE3">
        <w:rPr>
          <w:rFonts w:asciiTheme="minorHAnsi" w:hAnsiTheme="minorHAnsi"/>
          <w:iCs/>
          <w:sz w:val="22"/>
          <w:szCs w:val="22"/>
        </w:rPr>
        <w:t xml:space="preserve"> </w:t>
      </w:r>
      <w:r w:rsidR="003F0BE3" w:rsidRPr="003F0BE3">
        <w:rPr>
          <w:rFonts w:asciiTheme="minorHAnsi" w:hAnsiTheme="minorHAnsi"/>
          <w:iCs/>
          <w:sz w:val="22"/>
          <w:szCs w:val="22"/>
        </w:rPr>
        <w:t>w</w:t>
      </w:r>
      <w:r w:rsidR="00BF7A1E">
        <w:rPr>
          <w:rFonts w:asciiTheme="minorHAnsi" w:hAnsiTheme="minorHAnsi"/>
          <w:iCs/>
          <w:sz w:val="22"/>
          <w:szCs w:val="22"/>
        </w:rPr>
        <w:t> </w:t>
      </w:r>
      <w:r w:rsidR="003F0BE3" w:rsidRPr="003F0BE3">
        <w:rPr>
          <w:rFonts w:asciiTheme="minorHAnsi" w:hAnsiTheme="minorHAnsi"/>
          <w:iCs/>
          <w:sz w:val="22"/>
          <w:szCs w:val="22"/>
        </w:rPr>
        <w:t xml:space="preserve">rozumieniu rozporządzenia Komisji (UE) nr 1407/2013 z  dnia  18  grudnia  2013  r. w  sprawie  stosowania  art.  107  i  108  Traktatu  o  funkcjonowaniu  Unii  Europejskiej  do  pomocy  </w:t>
      </w:r>
      <w:r w:rsidR="003F0BE3" w:rsidRPr="0008638F">
        <w:rPr>
          <w:rFonts w:asciiTheme="minorHAnsi" w:hAnsiTheme="minorHAnsi"/>
          <w:i/>
          <w:iCs/>
          <w:sz w:val="22"/>
          <w:szCs w:val="22"/>
        </w:rPr>
        <w:t xml:space="preserve">de </w:t>
      </w:r>
      <w:proofErr w:type="spellStart"/>
      <w:r w:rsidR="003F0BE3" w:rsidRPr="0008638F">
        <w:rPr>
          <w:rFonts w:asciiTheme="minorHAnsi" w:hAnsiTheme="minorHAnsi"/>
          <w:i/>
          <w:iCs/>
          <w:sz w:val="22"/>
          <w:szCs w:val="22"/>
        </w:rPr>
        <w:t>minimis</w:t>
      </w:r>
      <w:proofErr w:type="spellEnd"/>
      <w:r w:rsidR="003F0BE3" w:rsidRPr="003F0BE3">
        <w:rPr>
          <w:rFonts w:asciiTheme="minorHAnsi" w:hAnsiTheme="minorHAnsi"/>
          <w:iCs/>
          <w:sz w:val="22"/>
          <w:szCs w:val="22"/>
        </w:rPr>
        <w:t xml:space="preserve"> (Dz. Urz. UE L 352, 24.12.2013, s.</w:t>
      </w:r>
      <w:r w:rsidR="003F0BE3">
        <w:rPr>
          <w:rFonts w:asciiTheme="minorHAnsi" w:hAnsiTheme="minorHAnsi"/>
          <w:iCs/>
          <w:sz w:val="22"/>
          <w:szCs w:val="22"/>
        </w:rPr>
        <w:t xml:space="preserve"> </w:t>
      </w:r>
      <w:r w:rsidR="003F0BE3" w:rsidRPr="003F0BE3">
        <w:rPr>
          <w:rFonts w:asciiTheme="minorHAnsi" w:hAnsiTheme="minorHAnsi"/>
          <w:iCs/>
          <w:sz w:val="22"/>
          <w:szCs w:val="22"/>
        </w:rPr>
        <w:t>1)</w:t>
      </w:r>
      <w:r w:rsidRPr="006B4515">
        <w:rPr>
          <w:rFonts w:asciiTheme="minorHAnsi" w:hAnsiTheme="minorHAnsi"/>
          <w:sz w:val="22"/>
          <w:szCs w:val="22"/>
        </w:rPr>
        <w:t xml:space="preserve">. </w:t>
      </w:r>
    </w:p>
    <w:p w:rsidR="002160BC" w:rsidRPr="002160BC" w:rsidRDefault="002160BC" w:rsidP="002160BC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160BC">
        <w:rPr>
          <w:sz w:val="22"/>
          <w:szCs w:val="22"/>
        </w:rPr>
        <w:t xml:space="preserve">W przypadku projektów grantowych zastosowanie mają dodatkowo </w:t>
      </w:r>
      <w:r>
        <w:rPr>
          <w:sz w:val="22"/>
          <w:szCs w:val="22"/>
        </w:rPr>
        <w:t>„</w:t>
      </w:r>
      <w:r w:rsidRPr="002160BC">
        <w:rPr>
          <w:i/>
          <w:sz w:val="22"/>
          <w:szCs w:val="22"/>
        </w:rPr>
        <w:t>Wytyczne Instytucji Zarządzającej Regionalnym Programem Operacyjnym Województwa Dolnośląskiego 2014-2020 do realizacji projektów grantowych</w:t>
      </w:r>
      <w:r>
        <w:rPr>
          <w:i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="00B73188">
        <w:rPr>
          <w:sz w:val="22"/>
          <w:szCs w:val="22"/>
        </w:rPr>
        <w:t>w ramach</w:t>
      </w:r>
      <w:r>
        <w:rPr>
          <w:sz w:val="22"/>
          <w:szCs w:val="22"/>
        </w:rPr>
        <w:t xml:space="preserve"> poszczególnych Działań.</w:t>
      </w:r>
    </w:p>
    <w:p w:rsidR="0048731C" w:rsidRPr="0048731C" w:rsidRDefault="0048731C" w:rsidP="0048731C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8731C">
        <w:rPr>
          <w:rFonts w:asciiTheme="minorHAnsi" w:hAnsiTheme="minorHAnsi"/>
          <w:sz w:val="22"/>
          <w:szCs w:val="22"/>
        </w:rPr>
        <w:t>Warunki i procedury pomniejszania wydatków kwalifikowalnych o dochód</w:t>
      </w:r>
      <w:r>
        <w:rPr>
          <w:rFonts w:asciiTheme="minorHAnsi" w:hAnsiTheme="minorHAnsi"/>
          <w:sz w:val="22"/>
          <w:szCs w:val="22"/>
        </w:rPr>
        <w:t xml:space="preserve"> </w:t>
      </w:r>
      <w:r w:rsidRPr="0048731C">
        <w:rPr>
          <w:rFonts w:asciiTheme="minorHAnsi" w:hAnsiTheme="minorHAnsi"/>
          <w:sz w:val="22"/>
          <w:szCs w:val="22"/>
        </w:rPr>
        <w:t>wygenerowany po zakończeniu projektu są określone w wytycznych ministra</w:t>
      </w:r>
      <w:r>
        <w:rPr>
          <w:rFonts w:asciiTheme="minorHAnsi" w:hAnsiTheme="minorHAnsi"/>
          <w:sz w:val="22"/>
          <w:szCs w:val="22"/>
        </w:rPr>
        <w:t xml:space="preserve"> </w:t>
      </w:r>
      <w:r w:rsidRPr="0048731C">
        <w:rPr>
          <w:rFonts w:asciiTheme="minorHAnsi" w:hAnsiTheme="minorHAnsi"/>
          <w:sz w:val="22"/>
          <w:szCs w:val="22"/>
        </w:rPr>
        <w:t>właściwego do spraw rozwoju regionalnego w zakresie zagadnień związanych</w:t>
      </w:r>
      <w:r>
        <w:rPr>
          <w:rFonts w:asciiTheme="minorHAnsi" w:hAnsiTheme="minorHAnsi"/>
          <w:sz w:val="22"/>
          <w:szCs w:val="22"/>
        </w:rPr>
        <w:t xml:space="preserve"> </w:t>
      </w:r>
      <w:r w:rsidRPr="0048731C">
        <w:rPr>
          <w:rFonts w:asciiTheme="minorHAnsi" w:hAnsiTheme="minorHAnsi"/>
          <w:sz w:val="22"/>
          <w:szCs w:val="22"/>
        </w:rPr>
        <w:t>z przygotowaniem projektów inwestycyjnych, w</w:t>
      </w:r>
      <w:r w:rsidR="00B73188">
        <w:rPr>
          <w:rFonts w:asciiTheme="minorHAnsi" w:hAnsiTheme="minorHAnsi"/>
          <w:sz w:val="22"/>
          <w:szCs w:val="22"/>
        </w:rPr>
        <w:t> </w:t>
      </w:r>
      <w:r w:rsidRPr="0048731C">
        <w:rPr>
          <w:rFonts w:asciiTheme="minorHAnsi" w:hAnsiTheme="minorHAnsi"/>
          <w:sz w:val="22"/>
          <w:szCs w:val="22"/>
        </w:rPr>
        <w:t>tym projektów generujących dochód</w:t>
      </w:r>
      <w:r>
        <w:rPr>
          <w:rFonts w:asciiTheme="minorHAnsi" w:hAnsiTheme="minorHAnsi"/>
          <w:sz w:val="22"/>
          <w:szCs w:val="22"/>
        </w:rPr>
        <w:t xml:space="preserve"> </w:t>
      </w:r>
      <w:r w:rsidRPr="0048731C">
        <w:rPr>
          <w:rFonts w:asciiTheme="minorHAnsi" w:hAnsiTheme="minorHAnsi"/>
          <w:sz w:val="22"/>
          <w:szCs w:val="22"/>
        </w:rPr>
        <w:t>i projektów hybrydowych na lata 2014-2020.</w:t>
      </w:r>
    </w:p>
    <w:p w:rsidR="000F49C6" w:rsidRPr="002E0308" w:rsidRDefault="000D0C61" w:rsidP="0048731C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B4515">
        <w:rPr>
          <w:rFonts w:asciiTheme="minorHAnsi" w:hAnsiTheme="minorHAnsi"/>
          <w:sz w:val="22"/>
          <w:szCs w:val="22"/>
        </w:rPr>
        <w:lastRenderedPageBreak/>
        <w:t>Zgodnie z</w:t>
      </w:r>
      <w:r w:rsidR="002800FC">
        <w:rPr>
          <w:rFonts w:asciiTheme="minorHAnsi" w:hAnsiTheme="minorHAnsi"/>
          <w:sz w:val="22"/>
          <w:szCs w:val="22"/>
        </w:rPr>
        <w:t xml:space="preserve"> postawieniami</w:t>
      </w:r>
      <w:r w:rsidRPr="006B4515">
        <w:rPr>
          <w:rFonts w:asciiTheme="minorHAnsi" w:hAnsiTheme="minorHAnsi"/>
          <w:sz w:val="22"/>
          <w:szCs w:val="22"/>
        </w:rPr>
        <w:t xml:space="preserve"> art. 2 pkt 32 ustawy wdrożeniowej, IZ RPO WP/IP </w:t>
      </w:r>
      <w:r w:rsidR="00B73188">
        <w:rPr>
          <w:rFonts w:asciiTheme="minorHAnsi" w:hAnsiTheme="minorHAnsi"/>
          <w:sz w:val="22"/>
          <w:szCs w:val="22"/>
        </w:rPr>
        <w:t xml:space="preserve">RPO  WD </w:t>
      </w:r>
      <w:r w:rsidRPr="006B4515">
        <w:rPr>
          <w:rFonts w:asciiTheme="minorHAnsi" w:hAnsiTheme="minorHAnsi"/>
          <w:sz w:val="22"/>
          <w:szCs w:val="22"/>
        </w:rPr>
        <w:t>w umowie o</w:t>
      </w:r>
      <w:r w:rsidR="00B73188">
        <w:rPr>
          <w:rFonts w:asciiTheme="minorHAnsi" w:hAnsiTheme="minorHAnsi"/>
          <w:sz w:val="22"/>
          <w:szCs w:val="22"/>
        </w:rPr>
        <w:t> </w:t>
      </w:r>
      <w:r w:rsidRPr="006B4515">
        <w:rPr>
          <w:rFonts w:asciiTheme="minorHAnsi" w:hAnsiTheme="minorHAnsi"/>
          <w:sz w:val="22"/>
          <w:szCs w:val="22"/>
        </w:rPr>
        <w:t xml:space="preserve">dofinansowanie/decyzji o dofinansowaniu projektu zobowiąże </w:t>
      </w:r>
      <w:r w:rsidR="00B73188">
        <w:rPr>
          <w:rFonts w:asciiTheme="minorHAnsi" w:hAnsiTheme="minorHAnsi"/>
          <w:sz w:val="22"/>
          <w:szCs w:val="22"/>
        </w:rPr>
        <w:t>B</w:t>
      </w:r>
      <w:r w:rsidRPr="006B4515">
        <w:rPr>
          <w:rFonts w:asciiTheme="minorHAnsi" w:hAnsiTheme="minorHAnsi"/>
          <w:sz w:val="22"/>
          <w:szCs w:val="22"/>
        </w:rPr>
        <w:t xml:space="preserve">eneficjenta do stosowania zapisów </w:t>
      </w:r>
      <w:r w:rsidR="002800FC" w:rsidRPr="002800FC">
        <w:rPr>
          <w:rFonts w:asciiTheme="minorHAnsi" w:hAnsiTheme="minorHAnsi"/>
          <w:sz w:val="22"/>
          <w:szCs w:val="22"/>
        </w:rPr>
        <w:t>w</w:t>
      </w:r>
      <w:r w:rsidRPr="002800FC">
        <w:rPr>
          <w:rFonts w:asciiTheme="minorHAnsi" w:hAnsiTheme="minorHAnsi"/>
          <w:iCs/>
          <w:sz w:val="22"/>
          <w:szCs w:val="22"/>
        </w:rPr>
        <w:t>ytycznych</w:t>
      </w:r>
      <w:r w:rsidR="002800FC">
        <w:rPr>
          <w:rFonts w:asciiTheme="minorHAnsi" w:hAnsiTheme="minorHAnsi"/>
          <w:i/>
          <w:iCs/>
          <w:sz w:val="22"/>
          <w:szCs w:val="22"/>
        </w:rPr>
        <w:t>.</w:t>
      </w:r>
      <w:r w:rsidRPr="006B4515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:rsidR="008F7051" w:rsidRPr="0008638F" w:rsidRDefault="001E1928" w:rsidP="0008638F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bookmarkStart w:id="1" w:name="_Hlk485204417"/>
      <w:r w:rsidRPr="00BA0A54">
        <w:rPr>
          <w:rFonts w:asciiTheme="minorHAnsi" w:hAnsiTheme="minorHAnsi"/>
          <w:iCs/>
          <w:sz w:val="22"/>
          <w:szCs w:val="22"/>
        </w:rPr>
        <w:t xml:space="preserve">Zgodnie z art. 8 ustawy wdrożeniowej Instytucja Zarządzająca </w:t>
      </w:r>
      <w:r w:rsidR="00673263">
        <w:rPr>
          <w:rFonts w:asciiTheme="minorHAnsi" w:hAnsiTheme="minorHAnsi"/>
          <w:iCs/>
          <w:sz w:val="22"/>
          <w:szCs w:val="22"/>
        </w:rPr>
        <w:t>:</w:t>
      </w:r>
    </w:p>
    <w:p w:rsidR="008F7051" w:rsidRPr="0008638F" w:rsidRDefault="003865F7" w:rsidP="0008638F">
      <w:pPr>
        <w:tabs>
          <w:tab w:val="left" w:pos="408"/>
        </w:tabs>
        <w:spacing w:after="0" w:line="240" w:lineRule="auto"/>
        <w:ind w:left="425"/>
        <w:jc w:val="both"/>
        <w:rPr>
          <w:rFonts w:cs="Calibri"/>
          <w:iCs/>
          <w:color w:val="000000"/>
        </w:rPr>
      </w:pPr>
      <w:r w:rsidRPr="0008638F">
        <w:rPr>
          <w:rFonts w:cs="Calibri"/>
          <w:iCs/>
          <w:color w:val="000000"/>
        </w:rPr>
        <w:t>a) podaje do publicznej wiadomości, w szczególności na swojej stronie internetowej oraz na portalu, wytyczne programowe oraz ich zmiany, a także termin, od którego wytyczne programowe lub ich zmiany są stosowane;</w:t>
      </w:r>
    </w:p>
    <w:p w:rsidR="008F7051" w:rsidRPr="0008638F" w:rsidRDefault="003865F7" w:rsidP="0008638F">
      <w:pPr>
        <w:tabs>
          <w:tab w:val="left" w:pos="408"/>
        </w:tabs>
        <w:spacing w:after="0" w:line="240" w:lineRule="auto"/>
        <w:ind w:left="425"/>
        <w:jc w:val="both"/>
        <w:rPr>
          <w:rFonts w:cs="Calibri"/>
          <w:iCs/>
          <w:color w:val="000000"/>
        </w:rPr>
      </w:pPr>
      <w:r w:rsidRPr="0008638F">
        <w:rPr>
          <w:rFonts w:cs="Calibri"/>
          <w:iCs/>
          <w:color w:val="000000"/>
        </w:rPr>
        <w:t xml:space="preserve">b) ogłasza </w:t>
      </w:r>
      <w:r w:rsidR="00673263" w:rsidRPr="0008638F">
        <w:rPr>
          <w:rFonts w:cs="Calibri"/>
          <w:iCs/>
          <w:color w:val="000000"/>
        </w:rPr>
        <w:t>w wojewódzkim dzienniku urzędowym</w:t>
      </w:r>
      <w:r w:rsidRPr="0008638F">
        <w:rPr>
          <w:rFonts w:cs="Calibri"/>
          <w:iCs/>
          <w:color w:val="000000"/>
        </w:rPr>
        <w:t xml:space="preserve"> komunikat o adresie strony internetowej oraz portalu, na których zostaną zamieszczone wytyczne programowe oraz ich zmiany, a także </w:t>
      </w:r>
      <w:r w:rsidR="0008638F">
        <w:rPr>
          <w:rFonts w:cs="Calibri"/>
          <w:iCs/>
          <w:color w:val="000000"/>
        </w:rPr>
        <w:br/>
      </w:r>
      <w:r w:rsidRPr="0008638F">
        <w:rPr>
          <w:rFonts w:cs="Calibri"/>
          <w:iCs/>
          <w:color w:val="000000"/>
        </w:rPr>
        <w:t>o terminie, od którego wytyczne programowe oraz ich zmiany są stosowane.</w:t>
      </w:r>
    </w:p>
    <w:bookmarkEnd w:id="1"/>
    <w:p w:rsidR="008F7051" w:rsidRPr="00BA0A54" w:rsidRDefault="001E1928" w:rsidP="00BA0A54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BA0A54">
        <w:rPr>
          <w:rFonts w:asciiTheme="minorHAnsi" w:hAnsiTheme="minorHAnsi"/>
          <w:iCs/>
          <w:sz w:val="22"/>
          <w:szCs w:val="22"/>
        </w:rPr>
        <w:t xml:space="preserve">Do oceny kwalifikowalności poniesionych wydatków stosuje się wersję </w:t>
      </w:r>
      <w:r w:rsidR="00006885" w:rsidRPr="00006885">
        <w:rPr>
          <w:rFonts w:asciiTheme="minorHAnsi" w:hAnsiTheme="minorHAnsi"/>
          <w:iCs/>
          <w:sz w:val="22"/>
          <w:szCs w:val="22"/>
        </w:rPr>
        <w:t>w</w:t>
      </w:r>
      <w:r w:rsidRPr="00BA0A54">
        <w:rPr>
          <w:rFonts w:asciiTheme="minorHAnsi" w:hAnsiTheme="minorHAnsi"/>
          <w:iCs/>
          <w:sz w:val="22"/>
          <w:szCs w:val="22"/>
        </w:rPr>
        <w:t>ytycznych obowiązującą w dniu poniesienia wydatku</w:t>
      </w:r>
      <w:r w:rsidR="00006885" w:rsidRPr="00006885">
        <w:rPr>
          <w:rFonts w:asciiTheme="minorHAnsi" w:hAnsiTheme="minorHAnsi"/>
          <w:iCs/>
        </w:rPr>
        <w:t>.</w:t>
      </w:r>
      <w:r w:rsidR="00006885">
        <w:rPr>
          <w:rFonts w:asciiTheme="minorHAnsi" w:hAnsiTheme="minorHAnsi"/>
          <w:iCs/>
        </w:rPr>
        <w:t xml:space="preserve"> </w:t>
      </w:r>
      <w:r w:rsidR="003128AA" w:rsidRPr="00006885">
        <w:rPr>
          <w:rFonts w:asciiTheme="minorHAnsi" w:hAnsiTheme="minorHAnsi"/>
          <w:iCs/>
          <w:sz w:val="22"/>
          <w:szCs w:val="22"/>
        </w:rPr>
        <w:t>W przypadku konkursów ogłoszonych prze</w:t>
      </w:r>
      <w:r w:rsidR="0025620F" w:rsidRPr="00006885">
        <w:rPr>
          <w:rFonts w:asciiTheme="minorHAnsi" w:hAnsiTheme="minorHAnsi"/>
          <w:iCs/>
          <w:sz w:val="22"/>
          <w:szCs w:val="22"/>
        </w:rPr>
        <w:t xml:space="preserve">d 21.11.2016 r. </w:t>
      </w:r>
      <w:r w:rsidR="00006885" w:rsidRPr="00006885">
        <w:rPr>
          <w:rFonts w:asciiTheme="minorHAnsi" w:hAnsiTheme="minorHAnsi"/>
          <w:iCs/>
          <w:sz w:val="22"/>
          <w:szCs w:val="22"/>
        </w:rPr>
        <w:t xml:space="preserve">(wejściem w życie </w:t>
      </w:r>
      <w:r w:rsidR="00F739EA">
        <w:rPr>
          <w:rFonts w:asciiTheme="minorHAnsi" w:hAnsiTheme="minorHAnsi"/>
          <w:iCs/>
          <w:sz w:val="22"/>
          <w:szCs w:val="22"/>
        </w:rPr>
        <w:t xml:space="preserve">pierwszej wersji </w:t>
      </w:r>
      <w:r w:rsidR="00006885" w:rsidRPr="00006885">
        <w:rPr>
          <w:rFonts w:asciiTheme="minorHAnsi" w:hAnsiTheme="minorHAnsi"/>
          <w:iCs/>
          <w:sz w:val="22"/>
          <w:szCs w:val="22"/>
        </w:rPr>
        <w:t>wytycznych</w:t>
      </w:r>
      <w:r w:rsidR="00006885">
        <w:rPr>
          <w:rFonts w:asciiTheme="minorHAnsi" w:hAnsiTheme="minorHAnsi"/>
          <w:iCs/>
          <w:sz w:val="22"/>
          <w:szCs w:val="22"/>
        </w:rPr>
        <w:t xml:space="preserve"> programowyc</w:t>
      </w:r>
      <w:r w:rsidR="00D60F14">
        <w:rPr>
          <w:rFonts w:asciiTheme="minorHAnsi" w:hAnsiTheme="minorHAnsi"/>
          <w:iCs/>
          <w:sz w:val="22"/>
          <w:szCs w:val="22"/>
        </w:rPr>
        <w:t>h</w:t>
      </w:r>
      <w:r w:rsidR="00006885" w:rsidRPr="00006885">
        <w:rPr>
          <w:rFonts w:asciiTheme="minorHAnsi" w:hAnsiTheme="minorHAnsi"/>
          <w:iCs/>
          <w:sz w:val="22"/>
          <w:szCs w:val="22"/>
        </w:rPr>
        <w:t xml:space="preserve">) </w:t>
      </w:r>
      <w:r w:rsidR="0025620F" w:rsidRPr="00006885">
        <w:rPr>
          <w:rFonts w:asciiTheme="minorHAnsi" w:hAnsiTheme="minorHAnsi"/>
          <w:iCs/>
          <w:sz w:val="22"/>
          <w:szCs w:val="22"/>
        </w:rPr>
        <w:t xml:space="preserve">stosuje się obowiązujący na dzień ogłoszenia danego konkursu (wskazany w Regulaminie konkursu) Załącznik nr 6 do Szczegółowego opisu osi priorytetowych Regionalnego Programu Operacyjnego Województwa Dolnośląskiego 2014-2020. </w:t>
      </w:r>
      <w:r w:rsidR="003128AA" w:rsidRPr="00006885">
        <w:rPr>
          <w:rFonts w:asciiTheme="minorHAnsi" w:hAnsiTheme="minorHAnsi"/>
          <w:iCs/>
          <w:sz w:val="22"/>
          <w:szCs w:val="22"/>
        </w:rPr>
        <w:t xml:space="preserve"> </w:t>
      </w:r>
      <w:r>
        <w:rPr>
          <w:rFonts w:asciiTheme="minorHAnsi" w:hAnsiTheme="minorHAnsi"/>
          <w:iCs/>
          <w:sz w:val="22"/>
          <w:szCs w:val="22"/>
        </w:rPr>
        <w:t xml:space="preserve">   </w:t>
      </w:r>
    </w:p>
    <w:p w:rsidR="00BB6C1F" w:rsidRPr="006B4515" w:rsidRDefault="00BB6C1F" w:rsidP="00673263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B4515">
        <w:rPr>
          <w:rFonts w:asciiTheme="minorHAnsi" w:hAnsiTheme="minorHAnsi"/>
          <w:sz w:val="22"/>
          <w:szCs w:val="22"/>
        </w:rPr>
        <w:t>W zakresie nieuregulowanym niniejszymi</w:t>
      </w:r>
      <w:r w:rsidR="002800FC">
        <w:rPr>
          <w:rFonts w:asciiTheme="minorHAnsi" w:hAnsiTheme="minorHAnsi"/>
          <w:sz w:val="22"/>
          <w:szCs w:val="22"/>
        </w:rPr>
        <w:t xml:space="preserve"> wytycznymi</w:t>
      </w:r>
      <w:r w:rsidRPr="006B4515">
        <w:rPr>
          <w:rFonts w:asciiTheme="minorHAnsi" w:hAnsiTheme="minorHAnsi"/>
          <w:sz w:val="22"/>
          <w:szCs w:val="22"/>
        </w:rPr>
        <w:t xml:space="preserve"> obowiązują warunki określone w</w:t>
      </w:r>
      <w:r w:rsidR="00B73188">
        <w:rPr>
          <w:rFonts w:asciiTheme="minorHAnsi" w:hAnsiTheme="minorHAnsi"/>
          <w:sz w:val="22"/>
          <w:szCs w:val="22"/>
        </w:rPr>
        <w:t> </w:t>
      </w:r>
      <w:r w:rsidR="002800FC">
        <w:rPr>
          <w:rFonts w:asciiTheme="minorHAnsi" w:hAnsiTheme="minorHAnsi"/>
          <w:sz w:val="22"/>
          <w:szCs w:val="22"/>
        </w:rPr>
        <w:t>w</w:t>
      </w:r>
      <w:r w:rsidRPr="006B4515">
        <w:rPr>
          <w:rFonts w:asciiTheme="minorHAnsi" w:hAnsiTheme="minorHAnsi"/>
          <w:sz w:val="22"/>
          <w:szCs w:val="22"/>
        </w:rPr>
        <w:t>ytycznych horyzontalnych.</w:t>
      </w:r>
    </w:p>
    <w:p w:rsidR="009F7CF2" w:rsidRPr="006B4515" w:rsidRDefault="009F7CF2" w:rsidP="00C10F6C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34307" w:rsidRPr="006B4515" w:rsidRDefault="00C34307" w:rsidP="009178E4">
      <w:pPr>
        <w:pStyle w:val="Akapitzlist"/>
        <w:tabs>
          <w:tab w:val="left" w:pos="5330"/>
        </w:tabs>
        <w:spacing w:line="240" w:lineRule="auto"/>
        <w:jc w:val="both"/>
        <w:rPr>
          <w:b/>
        </w:rPr>
      </w:pPr>
    </w:p>
    <w:p w:rsidR="005E77EA" w:rsidRDefault="00A23F33">
      <w:pPr>
        <w:pStyle w:val="Akapitzlist"/>
        <w:numPr>
          <w:ilvl w:val="0"/>
          <w:numId w:val="35"/>
        </w:numPr>
        <w:tabs>
          <w:tab w:val="left" w:pos="5330"/>
        </w:tabs>
        <w:spacing w:line="240" w:lineRule="auto"/>
        <w:jc w:val="both"/>
        <w:rPr>
          <w:b/>
        </w:rPr>
      </w:pPr>
      <w:r w:rsidRPr="006B4515">
        <w:rPr>
          <w:b/>
        </w:rPr>
        <w:t>Wydatki niekwalifikowalne</w:t>
      </w:r>
    </w:p>
    <w:p w:rsidR="00122E9E" w:rsidRDefault="006740FC" w:rsidP="00122E9E">
      <w:pPr>
        <w:tabs>
          <w:tab w:val="left" w:pos="5330"/>
        </w:tabs>
        <w:spacing w:line="240" w:lineRule="auto"/>
        <w:jc w:val="both"/>
        <w:rPr>
          <w:b/>
        </w:rPr>
      </w:pPr>
      <w:r>
        <w:rPr>
          <w:b/>
        </w:rPr>
        <w:t>Niniejszy punkt</w:t>
      </w:r>
      <w:r w:rsidRPr="00122E9E">
        <w:rPr>
          <w:b/>
          <w:i/>
          <w:iCs/>
        </w:rPr>
        <w:t xml:space="preserve"> </w:t>
      </w:r>
      <w:r>
        <w:rPr>
          <w:b/>
        </w:rPr>
        <w:t>określa</w:t>
      </w:r>
      <w:r w:rsidRPr="00122E9E">
        <w:rPr>
          <w:b/>
        </w:rPr>
        <w:t xml:space="preserve"> </w:t>
      </w:r>
      <w:r>
        <w:rPr>
          <w:b/>
        </w:rPr>
        <w:t xml:space="preserve">wydatki niekwalifikowalne </w:t>
      </w:r>
      <w:r w:rsidRPr="00122E9E">
        <w:rPr>
          <w:b/>
        </w:rPr>
        <w:t>finansowan</w:t>
      </w:r>
      <w:r>
        <w:rPr>
          <w:b/>
        </w:rPr>
        <w:t>e</w:t>
      </w:r>
      <w:r w:rsidRPr="00122E9E">
        <w:rPr>
          <w:b/>
        </w:rPr>
        <w:t xml:space="preserve"> z Europejskieg</w:t>
      </w:r>
      <w:r>
        <w:rPr>
          <w:b/>
        </w:rPr>
        <w:t xml:space="preserve">o Funduszu Rozwoju Regionalnego </w:t>
      </w:r>
      <w:r w:rsidRPr="00122E9E">
        <w:rPr>
          <w:b/>
        </w:rPr>
        <w:t>w</w:t>
      </w:r>
      <w:r>
        <w:rPr>
          <w:b/>
        </w:rPr>
        <w:t xml:space="preserve"> </w:t>
      </w:r>
      <w:r w:rsidRPr="00122E9E">
        <w:rPr>
          <w:b/>
        </w:rPr>
        <w:t>ramach Regionalnego Programu Operacyjnego Województwa Dolnośląskiego 2014-2020</w:t>
      </w:r>
      <w:r>
        <w:rPr>
          <w:b/>
        </w:rPr>
        <w:t xml:space="preserve"> – o</w:t>
      </w:r>
      <w:r w:rsidRPr="00C34307">
        <w:rPr>
          <w:b/>
        </w:rPr>
        <w:t>gólne kategorie wydatków</w:t>
      </w:r>
      <w:r>
        <w:rPr>
          <w:b/>
        </w:rPr>
        <w:t xml:space="preserve"> oraz</w:t>
      </w:r>
      <w:r w:rsidRPr="00C92E90">
        <w:rPr>
          <w:b/>
        </w:rPr>
        <w:t xml:space="preserve"> </w:t>
      </w:r>
      <w:r>
        <w:rPr>
          <w:b/>
        </w:rPr>
        <w:t xml:space="preserve">szczegółowe </w:t>
      </w:r>
      <w:r w:rsidRPr="003A2CB6">
        <w:rPr>
          <w:b/>
        </w:rPr>
        <w:t>zapisy dotyczące</w:t>
      </w:r>
      <w:r>
        <w:rPr>
          <w:b/>
        </w:rPr>
        <w:t xml:space="preserve"> poszczególnych Działań. </w:t>
      </w:r>
      <w:r w:rsidRPr="001E5C1A">
        <w:rPr>
          <w:b/>
        </w:rPr>
        <w:t>Należy mieć na uwadze, że możliwe jest doprecyzowanie lub uszczegółowienie nw. wydatków w zapisach Regulaminów konkursów ogłaszanych dla poszczególnych typów projektów.</w:t>
      </w:r>
    </w:p>
    <w:p w:rsidR="00A23F33" w:rsidRPr="00C34307" w:rsidRDefault="006D6172" w:rsidP="003A2CB6">
      <w:pPr>
        <w:jc w:val="both"/>
        <w:rPr>
          <w:b/>
        </w:rPr>
      </w:pPr>
      <w:r>
        <w:rPr>
          <w:b/>
        </w:rPr>
        <w:t>4</w:t>
      </w:r>
      <w:r w:rsidR="00A23F33" w:rsidRPr="00C34307">
        <w:rPr>
          <w:b/>
        </w:rPr>
        <w:t xml:space="preserve">.1 Ogólne kategorie wydatków mające zastosowanie dla </w:t>
      </w:r>
      <w:r w:rsidR="00C34307">
        <w:rPr>
          <w:b/>
        </w:rPr>
        <w:t>O</w:t>
      </w:r>
      <w:r w:rsidR="00A23F33" w:rsidRPr="00C34307">
        <w:rPr>
          <w:b/>
        </w:rPr>
        <w:t>si priorytetowych 1-7 z wył</w:t>
      </w:r>
      <w:r w:rsidR="003A2CB6">
        <w:rPr>
          <w:b/>
        </w:rPr>
        <w:t xml:space="preserve">ączeniem instrumentów </w:t>
      </w:r>
      <w:r w:rsidR="00DB22A0">
        <w:rPr>
          <w:b/>
        </w:rPr>
        <w:t>finansowych</w:t>
      </w:r>
    </w:p>
    <w:p w:rsidR="00A23F33" w:rsidRPr="006B4515" w:rsidRDefault="00A23F33" w:rsidP="00A23F33">
      <w:pPr>
        <w:jc w:val="both"/>
      </w:pPr>
      <w:r w:rsidRPr="006B4515">
        <w:t>Zwiększenie wysokości kosztów kwalifikowalnych w toku realizacji projektu przez Beneficjenta, niezależnie od przyczyny tego zwiększenia, nie stanowi dla Beneficjenta podstawy do roszczeń o</w:t>
      </w:r>
      <w:r w:rsidR="00B73188">
        <w:t> </w:t>
      </w:r>
      <w:r w:rsidRPr="006B4515">
        <w:t>zwiększenie kwoty dofinansowania przyznanego w umowie</w:t>
      </w:r>
      <w:r w:rsidRPr="006B4515">
        <w:rPr>
          <w:rStyle w:val="Odwoanieprzypisudolnego"/>
        </w:rPr>
        <w:footnoteReference w:id="2"/>
      </w:r>
      <w:r w:rsidRPr="006B4515">
        <w:t xml:space="preserve"> o dofinansowanie projektu. Wniosek o</w:t>
      </w:r>
      <w:r w:rsidR="00B73188">
        <w:t> </w:t>
      </w:r>
      <w:r w:rsidRPr="006B4515">
        <w:t>zwiększenie dofinansowania jest rozpatrywany indywidualnie dla każdego przypadku, a podejmując decyzję właściwa instytucja bierze pod uwagę również dostępność środków w ramach danego Działania/Poddziałania/Osi priorytetowej.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6"/>
        <w:gridCol w:w="6456"/>
      </w:tblGrid>
      <w:tr w:rsidR="00A23F33" w:rsidRPr="006B4515" w:rsidTr="009A053B">
        <w:tc>
          <w:tcPr>
            <w:tcW w:w="1438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A23F33" w:rsidRPr="006B4515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6B4515">
              <w:rPr>
                <w:b/>
              </w:rPr>
              <w:t>RODZAJ WYDATKU</w:t>
            </w:r>
          </w:p>
        </w:tc>
        <w:tc>
          <w:tcPr>
            <w:tcW w:w="3562" w:type="pct"/>
            <w:vAlign w:val="center"/>
          </w:tcPr>
          <w:p w:rsidR="00A23F33" w:rsidRPr="006B4515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6B4515">
              <w:rPr>
                <w:b/>
              </w:rPr>
              <w:t>WYDATKI NIEKWALIFIKOWALNE</w:t>
            </w:r>
          </w:p>
        </w:tc>
      </w:tr>
      <w:tr w:rsidR="00A23F33" w:rsidRPr="006B4515" w:rsidTr="009A053B">
        <w:tc>
          <w:tcPr>
            <w:tcW w:w="1438" w:type="pct"/>
            <w:shd w:val="clear" w:color="auto" w:fill="99CCFF"/>
            <w:vAlign w:val="center"/>
          </w:tcPr>
          <w:p w:rsidR="00A23F33" w:rsidRPr="006B4515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6B4515">
              <w:rPr>
                <w:b/>
              </w:rPr>
              <w:t>Zasięg terytorialny</w:t>
            </w:r>
          </w:p>
        </w:tc>
        <w:tc>
          <w:tcPr>
            <w:tcW w:w="3562" w:type="pct"/>
            <w:vAlign w:val="center"/>
          </w:tcPr>
          <w:p w:rsidR="00A23F33" w:rsidRPr="006B4515" w:rsidRDefault="00A23F33" w:rsidP="00D44C8D">
            <w:pPr>
              <w:spacing w:before="120" w:after="120" w:line="240" w:lineRule="auto"/>
              <w:jc w:val="both"/>
              <w:rPr>
                <w:b/>
                <w:bCs/>
              </w:rPr>
            </w:pPr>
            <w:r w:rsidRPr="006B4515">
              <w:rPr>
                <w:b/>
                <w:bCs/>
              </w:rPr>
              <w:t>Kwalifikowalność projektów:</w:t>
            </w:r>
          </w:p>
          <w:p w:rsidR="00A23F33" w:rsidRPr="006B4515" w:rsidRDefault="00A23F33" w:rsidP="00D44C8D">
            <w:pPr>
              <w:spacing w:before="120" w:after="120" w:line="240" w:lineRule="auto"/>
              <w:jc w:val="both"/>
              <w:rPr>
                <w:bCs/>
              </w:rPr>
            </w:pPr>
            <w:r w:rsidRPr="006B4515">
              <w:rPr>
                <w:bCs/>
              </w:rPr>
              <w:t>Projekt współfinansowany z EFRR w ramach RPO WD 2014-2020 musi być realizowany w granicach administracyjnych województwa dolnośląskiego (poziom NUTS 2).</w:t>
            </w:r>
          </w:p>
          <w:p w:rsidR="00A23F33" w:rsidRPr="006B4515" w:rsidRDefault="00A23F33" w:rsidP="00D44C8D">
            <w:pPr>
              <w:spacing w:before="120" w:after="120" w:line="240" w:lineRule="auto"/>
              <w:jc w:val="both"/>
            </w:pPr>
            <w:r w:rsidRPr="006B4515">
              <w:t>Reguła ta nie ma zastosowania w przypadku Działania 1.4 Internacjonalizacja przedsiębiorstw – projekty, których celem jest promocja, Działania 4.1 Gospodarka odpadami oraz Działania 5.2 System transportu kolejowego, zasady realizacji których zapisano bezpośrednio w RPO WD 2014-2020.</w:t>
            </w:r>
          </w:p>
          <w:p w:rsidR="00A23F33" w:rsidRPr="006B4515" w:rsidRDefault="00A23F33" w:rsidP="00D44C8D">
            <w:pPr>
              <w:spacing w:before="120" w:after="120" w:line="240" w:lineRule="auto"/>
              <w:jc w:val="both"/>
            </w:pPr>
            <w:r w:rsidRPr="006B4515">
              <w:rPr>
                <w:b/>
                <w:bCs/>
              </w:rPr>
              <w:t>Kwalifikowalność wydatków:</w:t>
            </w:r>
          </w:p>
          <w:p w:rsidR="00A23F33" w:rsidRPr="006B4515" w:rsidRDefault="00A23F33" w:rsidP="00D44C8D">
            <w:pPr>
              <w:spacing w:before="120" w:after="120" w:line="240" w:lineRule="auto"/>
              <w:jc w:val="both"/>
            </w:pPr>
            <w:r w:rsidRPr="006B4515">
              <w:t xml:space="preserve">Niekwalifikowalne są wydatki poniesione na projekt realizowany poza granicami administracyjnymi województwa dolnośląskiego (poziom NUTS 2). Reguła ta nie ma zastosowania w przypadku Działania 1.4 Internacjonalizacja przedsiębiorstw, projekty, których celem jest promocja, Działania 4.1 Gospodarka odpadami, Działania 5.1 Drogowa dostępność transportowa oraz Działania 5.2 System transportu kolejowego, zasady realizacji których zapisano bezpośrednio w RPO WD 2014 – 2020. </w:t>
            </w:r>
          </w:p>
          <w:p w:rsidR="00A23F33" w:rsidRPr="006B4515" w:rsidRDefault="00A23F33" w:rsidP="003B2988">
            <w:pPr>
              <w:spacing w:before="120" w:after="120" w:line="240" w:lineRule="auto"/>
              <w:jc w:val="both"/>
            </w:pPr>
            <w:r w:rsidRPr="006B4515">
              <w:t>W przypadku przedsiębiorców (rozumianych zgodnie z ustawą o</w:t>
            </w:r>
            <w:r w:rsidR="003B2988">
              <w:t> </w:t>
            </w:r>
            <w:r w:rsidRPr="006B4515">
              <w:t>swobodzie działalności gospodarczej), niekwalifikowalne są wydatki poniesione przez Wnioskodawców nie posiadających co najmniej zakładu lub oddziału w granicach administracyjnych województwa dolnośląskiego przynajmniej od momentu wypłaty pomocy do zakończenia okresu trwałości projektu.</w:t>
            </w:r>
          </w:p>
        </w:tc>
      </w:tr>
      <w:tr w:rsidR="00A23F33" w:rsidRPr="006B4515" w:rsidTr="009A053B">
        <w:tc>
          <w:tcPr>
            <w:tcW w:w="1438" w:type="pct"/>
            <w:shd w:val="clear" w:color="auto" w:fill="99CCFF"/>
            <w:vAlign w:val="center"/>
          </w:tcPr>
          <w:p w:rsidR="00A23F33" w:rsidRPr="006B4515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6B4515">
              <w:rPr>
                <w:b/>
              </w:rPr>
              <w:t>Ramy czasowe kwalifikowalności/pomoc publiczna</w:t>
            </w:r>
          </w:p>
        </w:tc>
        <w:tc>
          <w:tcPr>
            <w:tcW w:w="3562" w:type="pct"/>
            <w:vAlign w:val="center"/>
          </w:tcPr>
          <w:p w:rsidR="00A23F33" w:rsidRPr="006B4515" w:rsidRDefault="00A23F33" w:rsidP="00D44C8D">
            <w:pPr>
              <w:spacing w:before="120" w:after="120" w:line="240" w:lineRule="auto"/>
            </w:pPr>
            <w:r w:rsidRPr="006B4515">
              <w:t>Wydatki poniesione:</w:t>
            </w:r>
          </w:p>
          <w:p w:rsidR="00A23F33" w:rsidRPr="006B4515" w:rsidRDefault="00A23F33" w:rsidP="00C3430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</w:pPr>
            <w:r w:rsidRPr="006B4515">
              <w:t>przed 1 stycznia 2014 r.;</w:t>
            </w:r>
          </w:p>
          <w:p w:rsidR="00A23F33" w:rsidRPr="006B4515" w:rsidRDefault="00A23F33" w:rsidP="00C3430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</w:pPr>
            <w:r w:rsidRPr="006B4515">
              <w:t xml:space="preserve">po 31 grudnia 2023 r. (na poziomie Programu) oraz </w:t>
            </w:r>
            <w:r w:rsidRPr="006B4515">
              <w:br/>
              <w:t>w terminie niezgodnym z umową o dofinansowanie projektu;</w:t>
            </w:r>
          </w:p>
          <w:p w:rsidR="00A23F33" w:rsidRPr="006B4515" w:rsidRDefault="00A23F33" w:rsidP="00C34307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</w:pPr>
            <w:r w:rsidRPr="006B4515">
              <w:t>niezgodnie z terminami określonymi w programach pomocowych lub aktach prawnych.</w:t>
            </w:r>
          </w:p>
          <w:p w:rsidR="00A23F33" w:rsidRPr="006B4515" w:rsidRDefault="00A23F33" w:rsidP="00D44C8D">
            <w:pPr>
              <w:spacing w:before="120" w:after="120" w:line="240" w:lineRule="auto"/>
              <w:jc w:val="both"/>
            </w:pPr>
            <w:r w:rsidRPr="006B4515">
              <w:t>Faktyczny okres kwalifikowania wydatków dla danego projektu zostanie określony w umowie o dofinansowanie projektu, która określi zarówno początkową, jak i końcową datę kwalifikowalności wydatków. Wydatki poniesione po okresie kwalifikowalności określonym w umowie stanowią wydatki niekwalifikowalne.</w:t>
            </w:r>
          </w:p>
          <w:p w:rsidR="00A23F33" w:rsidRPr="006B4515" w:rsidRDefault="00A23F33" w:rsidP="00D44C8D">
            <w:pPr>
              <w:spacing w:before="120" w:after="120" w:line="240" w:lineRule="auto"/>
              <w:jc w:val="both"/>
            </w:pPr>
            <w:r w:rsidRPr="006B4515">
              <w:t>Okres realizacji projektu określony w umowie nie może wykraczać poza daty graniczne wyżej określone.</w:t>
            </w:r>
          </w:p>
        </w:tc>
      </w:tr>
      <w:tr w:rsidR="00A23F33" w:rsidRPr="006B4515" w:rsidTr="009A053B">
        <w:tc>
          <w:tcPr>
            <w:tcW w:w="1438" w:type="pct"/>
            <w:shd w:val="clear" w:color="auto" w:fill="99CCFF"/>
            <w:vAlign w:val="center"/>
          </w:tcPr>
          <w:p w:rsidR="00A23F33" w:rsidRPr="006B4515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6B4515">
              <w:rPr>
                <w:b/>
              </w:rPr>
              <w:t>Przygotowanie dokumentacji projektu</w:t>
            </w:r>
          </w:p>
        </w:tc>
        <w:tc>
          <w:tcPr>
            <w:tcW w:w="3562" w:type="pct"/>
            <w:vAlign w:val="center"/>
          </w:tcPr>
          <w:p w:rsidR="00A23F33" w:rsidRPr="006B4515" w:rsidRDefault="00A23F33" w:rsidP="00D44C8D">
            <w:pPr>
              <w:spacing w:before="120" w:after="120" w:line="240" w:lineRule="auto"/>
              <w:jc w:val="both"/>
            </w:pPr>
            <w:r w:rsidRPr="006B4515">
              <w:t>Wydatki na przygotowanie dokumentacji projektu (wymaganej prawem krajowym lub wspólnotowym bądź przez IZ RPO WD) przekraczające 8% wartości całkowitych wydatków kwalifikowalnych projektu. Limit ten weryfikowany jest jednorazowo na etapie oceny wniosku o</w:t>
            </w:r>
            <w:r w:rsidR="003B2988">
              <w:t> </w:t>
            </w:r>
            <w:r w:rsidRPr="006B4515">
              <w:t xml:space="preserve">dofinansowanie. Wydatki poniesione na dokumenty o charakterze planistycznym, takie jak Lokalny Plan Rewitalizacji czy Program Gospodarki Niskoemisyjnej, nie mogą stanowić kosztów kwalifikowalnych w projekcie. </w:t>
            </w:r>
          </w:p>
          <w:p w:rsidR="00A23F33" w:rsidRPr="006B4515" w:rsidRDefault="00A23F33" w:rsidP="00D44C8D">
            <w:pPr>
              <w:spacing w:before="120" w:after="120" w:line="240" w:lineRule="auto"/>
              <w:jc w:val="both"/>
            </w:pPr>
            <w:r w:rsidRPr="006B4515">
              <w:t xml:space="preserve">Ograniczenie procentowe nie dotyczy projektów grantowych,  </w:t>
            </w:r>
            <w:r w:rsidRPr="006B4515">
              <w:rPr>
                <w:u w:val="single"/>
              </w:rPr>
              <w:t>dla których stosowne uregulowania znajdą się w regulaminach konkursów</w:t>
            </w:r>
            <w:r w:rsidRPr="006B4515">
              <w:t>.</w:t>
            </w:r>
          </w:p>
          <w:p w:rsidR="00A23F33" w:rsidRPr="006B4515" w:rsidRDefault="00A23F33" w:rsidP="00D44C8D">
            <w:pPr>
              <w:spacing w:before="120" w:after="120" w:line="240" w:lineRule="auto"/>
              <w:jc w:val="both"/>
            </w:pPr>
            <w:r w:rsidRPr="006B4515">
              <w:t>---------------------------------------------------------------------------------------</w:t>
            </w:r>
          </w:p>
          <w:p w:rsidR="00A23F33" w:rsidRPr="006B4515" w:rsidRDefault="00A23F33" w:rsidP="00D44C8D">
            <w:pPr>
              <w:spacing w:before="120" w:after="120" w:line="240" w:lineRule="auto"/>
              <w:jc w:val="both"/>
            </w:pPr>
            <w:r w:rsidRPr="006B4515">
              <w:t xml:space="preserve">Wydatkiem kwalifikowalnym może być w szczególności wydatek poniesiony na </w:t>
            </w:r>
            <w:r w:rsidRPr="006B4515">
              <w:rPr>
                <w:b/>
              </w:rPr>
              <w:t>opracowanie</w:t>
            </w:r>
            <w:r w:rsidRPr="006B4515">
              <w:t xml:space="preserve"> dokumentacji związanej </w:t>
            </w:r>
            <w:r w:rsidRPr="006B4515">
              <w:br/>
              <w:t>z przygotowaniem projektu:</w:t>
            </w:r>
          </w:p>
          <w:p w:rsidR="00A23F33" w:rsidRPr="006B4515" w:rsidRDefault="00A23F33" w:rsidP="00D44C8D">
            <w:pPr>
              <w:numPr>
                <w:ilvl w:val="0"/>
                <w:numId w:val="26"/>
              </w:numPr>
              <w:spacing w:after="0" w:line="240" w:lineRule="auto"/>
              <w:ind w:left="328" w:hanging="328"/>
            </w:pPr>
            <w:r w:rsidRPr="006B4515">
              <w:t>biznesplanu, studium wykonalności (w przypadku, gdy ten sam wykonawca będzie w ramach jednego zamówienia opracowywał również niekwalifikowalną dokumentację projektową, np. formularz wniosku o dofinansowanie/wniosek o potwierdzenie wkładu finansowego w przypadku projektów dużych, warunkiem kwalifikowalności biznesplanu/studium wykonalności będzie rozbicie w umowie z tymże wykonawcą kosztów na dokumentację kwalifikowalną oraz niekwalifikowalną. Ww. rozbicie kosztów należy również zastosować na etapie rozliczania, tj. na fakturze lub innym dokumencie księgowym o równoważnej wartości dowodowej);</w:t>
            </w:r>
          </w:p>
          <w:p w:rsidR="00A23F33" w:rsidRPr="006B4515" w:rsidRDefault="00A23F33" w:rsidP="00D44C8D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</w:pPr>
            <w:r w:rsidRPr="006B4515">
              <w:t>mapy lub szkiców sytuujących projekt;</w:t>
            </w:r>
          </w:p>
          <w:p w:rsidR="00A23F33" w:rsidRPr="006B4515" w:rsidRDefault="00A23F33" w:rsidP="00D44C8D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</w:pPr>
            <w:r w:rsidRPr="006B4515">
              <w:t>innej dokumentacji technicznej lub finansowej niezbędnej do realizacji projektu (np. projekt budowlany, raport oddziaływania na środowisko, ekspertyzy).</w:t>
            </w:r>
          </w:p>
          <w:p w:rsidR="00A23F33" w:rsidRPr="006B4515" w:rsidRDefault="00A23F33" w:rsidP="003B2988">
            <w:pPr>
              <w:spacing w:before="120" w:after="120" w:line="240" w:lineRule="auto"/>
              <w:jc w:val="both"/>
            </w:pPr>
            <w:r w:rsidRPr="006B4515">
              <w:t xml:space="preserve">Niekwalifikowalne są wydatki na </w:t>
            </w:r>
            <w:r w:rsidRPr="006B4515">
              <w:rPr>
                <w:b/>
              </w:rPr>
              <w:t>wypełnienie</w:t>
            </w:r>
            <w:r w:rsidRPr="006B4515">
              <w:t xml:space="preserve"> formularza wniosku o</w:t>
            </w:r>
            <w:r w:rsidR="003B2988">
              <w:t> </w:t>
            </w:r>
            <w:r w:rsidRPr="006B4515">
              <w:t>dofinansowania oraz wniosku o potwierdzenie wkładu finansowego w</w:t>
            </w:r>
            <w:r w:rsidR="003B2988">
              <w:t> </w:t>
            </w:r>
            <w:r w:rsidRPr="006B4515">
              <w:t>przypadku dużych projektów.</w:t>
            </w:r>
          </w:p>
        </w:tc>
      </w:tr>
      <w:tr w:rsidR="00A23F33" w:rsidRPr="006B4515" w:rsidTr="009A053B">
        <w:tc>
          <w:tcPr>
            <w:tcW w:w="1438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A23F33" w:rsidRPr="006B4515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6B4515">
              <w:rPr>
                <w:b/>
              </w:rPr>
              <w:t>VAT</w:t>
            </w:r>
          </w:p>
        </w:tc>
        <w:tc>
          <w:tcPr>
            <w:tcW w:w="3562" w:type="pct"/>
            <w:vAlign w:val="center"/>
          </w:tcPr>
          <w:p w:rsidR="00A23F33" w:rsidRPr="006B4515" w:rsidRDefault="00A23F33" w:rsidP="00D44C8D">
            <w:pPr>
              <w:spacing w:before="120" w:after="120" w:line="240" w:lineRule="auto"/>
              <w:jc w:val="both"/>
            </w:pPr>
            <w:r w:rsidRPr="006B4515">
              <w:t>Podatek VAT, który może być odzyskany na podstawie przepisów krajowych stanowi wydatek niekwalifikowalny.</w:t>
            </w:r>
          </w:p>
          <w:p w:rsidR="00A23F33" w:rsidRPr="006B4515" w:rsidRDefault="00A23F33" w:rsidP="003B2988">
            <w:pPr>
              <w:spacing w:before="120" w:after="120" w:line="240" w:lineRule="auto"/>
              <w:jc w:val="both"/>
            </w:pPr>
            <w:r w:rsidRPr="006B4515">
              <w:t xml:space="preserve">Podatek VAT w stosunku do wydatków, dla których </w:t>
            </w:r>
            <w:r w:rsidR="00D44C8D" w:rsidRPr="006B4515">
              <w:t>B</w:t>
            </w:r>
            <w:r w:rsidRPr="006B4515">
              <w:t xml:space="preserve">eneficjent odlicza ten podatek częściowo na podstawie art. 86/art. 90 ustawy o VAT, jest kwalifikowalny, o ile </w:t>
            </w:r>
            <w:r w:rsidR="00D44C8D" w:rsidRPr="006B4515">
              <w:t>B</w:t>
            </w:r>
            <w:r w:rsidRPr="006B4515">
              <w:t>eneficjent ustanowi dla projektu przejrzysty systemy ewidencjonowania i rozliczania tego podatku i będzie w stanie udowodnić w sposób niebudzący wątpliwości, w jakiej części oraz w</w:t>
            </w:r>
            <w:r w:rsidR="003B2988">
              <w:t> </w:t>
            </w:r>
            <w:r w:rsidRPr="006B4515">
              <w:t>jakim zakresie VAT w projekcie może być kwalifikowalny.</w:t>
            </w:r>
          </w:p>
        </w:tc>
      </w:tr>
      <w:tr w:rsidR="00300834" w:rsidRPr="006B4515" w:rsidTr="009A053B">
        <w:tc>
          <w:tcPr>
            <w:tcW w:w="1438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300834" w:rsidRPr="00A41909" w:rsidRDefault="00300834" w:rsidP="0002135C">
            <w:pPr>
              <w:spacing w:before="120" w:after="120" w:line="240" w:lineRule="auto"/>
              <w:jc w:val="center"/>
              <w:rPr>
                <w:b/>
                <w:highlight w:val="yellow"/>
              </w:rPr>
            </w:pPr>
            <w:r w:rsidRPr="003F3E56">
              <w:rPr>
                <w:b/>
              </w:rPr>
              <w:t>Wkład niepieniężny</w:t>
            </w:r>
          </w:p>
        </w:tc>
        <w:tc>
          <w:tcPr>
            <w:tcW w:w="3562" w:type="pct"/>
            <w:vAlign w:val="center"/>
          </w:tcPr>
          <w:p w:rsidR="00A055C8" w:rsidRPr="00A2094C" w:rsidRDefault="00A055C8" w:rsidP="00D44C8D">
            <w:pPr>
              <w:spacing w:before="120" w:after="120" w:line="240" w:lineRule="auto"/>
              <w:jc w:val="both"/>
            </w:pPr>
            <w:r w:rsidRPr="00A2094C">
              <w:t>Niekwalifikowalnym jest</w:t>
            </w:r>
            <w:r w:rsidR="00A2094C" w:rsidRPr="00A2094C">
              <w:t xml:space="preserve"> wkład niepieniężny</w:t>
            </w:r>
            <w:r w:rsidR="00894767" w:rsidRPr="00A2094C">
              <w:t xml:space="preserve">: </w:t>
            </w:r>
          </w:p>
          <w:p w:rsidR="00A055C8" w:rsidRPr="00A2094C" w:rsidRDefault="00894767" w:rsidP="00A055C8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jc w:val="both"/>
            </w:pPr>
            <w:r w:rsidRPr="00A2094C">
              <w:t>stanowiący wkład niepieniężny w innym projekcie</w:t>
            </w:r>
            <w:r w:rsidR="00AE3F41">
              <w:t>;</w:t>
            </w:r>
            <w:r w:rsidRPr="00A2094C">
              <w:t xml:space="preserve"> </w:t>
            </w:r>
          </w:p>
          <w:p w:rsidR="00894767" w:rsidRDefault="00894767" w:rsidP="00776AD7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jc w:val="both"/>
            </w:pPr>
            <w:r>
              <w:t xml:space="preserve">w przypadku którego Wnioskodawca/Beneficjent nie udowodni, że w wyniku wniesienia do projektu dóbr stanowiących </w:t>
            </w:r>
            <w:r w:rsidR="00A2094C">
              <w:t xml:space="preserve">ten </w:t>
            </w:r>
            <w:r>
              <w:t xml:space="preserve">wkład utraci możliwość ich wykorzystywania w dotychczasowy sposób. </w:t>
            </w:r>
            <w:r w:rsidR="00A2094C">
              <w:br/>
            </w:r>
            <w:r>
              <w:t>W uzasadnionych przypadkach IZ RPO WD</w:t>
            </w:r>
            <w:r w:rsidR="00776AD7">
              <w:t>/IP RPO WD</w:t>
            </w:r>
            <w:r>
              <w:t xml:space="preserve"> może odstąpić od konieczności zachowania powyższej zasady, o ile Wnioskodawca przedstawi ekonomiczne uzasadnienie proponowanego rozwiązania i uzasadnienie to zostanie zaakceptowane przez IZ RPO WD</w:t>
            </w:r>
            <w:r w:rsidR="00776AD7">
              <w:t>/IP RPO WD</w:t>
            </w:r>
            <w:r w:rsidR="00AE3F41">
              <w:t>;</w:t>
            </w:r>
          </w:p>
          <w:p w:rsidR="00894767" w:rsidRDefault="00A2094C" w:rsidP="00A2094C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jc w:val="both"/>
            </w:pPr>
            <w:r>
              <w:t xml:space="preserve">który nie został wyceniony </w:t>
            </w:r>
            <w:r w:rsidRPr="00A2094C">
              <w:t>przez uprawniony i niezależny od Beneficjenta podmiot, zgodnie z obowiązującym w tym zakresie prawem</w:t>
            </w:r>
            <w:r>
              <w:t xml:space="preserve"> (nie dotyczy pracy wolontariusza)</w:t>
            </w:r>
            <w:r w:rsidR="00AE3F41">
              <w:t>;</w:t>
            </w:r>
          </w:p>
          <w:p w:rsidR="00A2094C" w:rsidRDefault="00A2094C" w:rsidP="00A2094C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jc w:val="both"/>
            </w:pPr>
            <w:r>
              <w:t>dla którego Wnioskodawca/Beneficjent nie przedstawi aktualnej wyceny/operatu szacunkowego</w:t>
            </w:r>
            <w:r w:rsidR="00AE3F41">
              <w:t>;</w:t>
            </w:r>
          </w:p>
          <w:p w:rsidR="00A2094C" w:rsidRPr="00894767" w:rsidRDefault="00D57423" w:rsidP="006A104F">
            <w:pPr>
              <w:pStyle w:val="Akapitzlist"/>
              <w:numPr>
                <w:ilvl w:val="0"/>
                <w:numId w:val="34"/>
              </w:numPr>
              <w:spacing w:before="120" w:after="120" w:line="240" w:lineRule="auto"/>
              <w:jc w:val="both"/>
            </w:pPr>
            <w:r>
              <w:t>którego wartość nie znajdzie odzwierciedlenia w księgach rachunkowych/wyodrębnionej dla projektu ewidencji</w:t>
            </w:r>
            <w:r w:rsidR="00A2094C">
              <w:t xml:space="preserve">. </w:t>
            </w:r>
            <w:r w:rsidR="00E7606F">
              <w:br/>
            </w:r>
            <w:r w:rsidR="00A2094C">
              <w:t xml:space="preserve">W przypadku, gdy dowód księgowy będzie opiewał na wartość niższą, niż wniesiony do projektu wkład niepieniężny – wkład niepieniężny będzie rozliczony do wysokości wynikającej z dowodu księgowego, chyba że aktualna wartość rynkowa potwierdzona operatem/wyceną jest niższa, niż ta widniejąca na dowodzie księgowym </w:t>
            </w:r>
            <w:r w:rsidR="00F147DD">
              <w:t>–</w:t>
            </w:r>
            <w:r w:rsidR="00A2094C">
              <w:t xml:space="preserve"> wówczas wkład niepieniężny będzie mógł być rozliczony do wysokości wskazanej w operacie szacunkowym/ wycenie.</w:t>
            </w:r>
          </w:p>
        </w:tc>
      </w:tr>
      <w:tr w:rsidR="00A23F33" w:rsidRPr="006B4515" w:rsidTr="009A053B">
        <w:tc>
          <w:tcPr>
            <w:tcW w:w="1438" w:type="pct"/>
            <w:shd w:val="clear" w:color="auto" w:fill="99CCFF"/>
            <w:vAlign w:val="center"/>
          </w:tcPr>
          <w:p w:rsidR="00A23F33" w:rsidRPr="006B4515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6B4515">
              <w:rPr>
                <w:b/>
              </w:rPr>
              <w:t>Wydatki na ubezpieczenie nieobowiązkowe</w:t>
            </w:r>
          </w:p>
        </w:tc>
        <w:tc>
          <w:tcPr>
            <w:tcW w:w="3562" w:type="pct"/>
            <w:vAlign w:val="center"/>
          </w:tcPr>
          <w:p w:rsidR="00A23F33" w:rsidRPr="006B4515" w:rsidRDefault="00A23F33" w:rsidP="00D44C8D">
            <w:pPr>
              <w:spacing w:before="120" w:after="120" w:line="240" w:lineRule="auto"/>
              <w:jc w:val="both"/>
            </w:pPr>
            <w:r w:rsidRPr="006B4515">
              <w:t xml:space="preserve">Wydatki na ubezpieczenia nieobowiązkowe stanowią wydatek niekwalifikowalny. </w:t>
            </w:r>
          </w:p>
        </w:tc>
      </w:tr>
      <w:tr w:rsidR="00A23F33" w:rsidRPr="006B4515" w:rsidTr="009A053B">
        <w:tc>
          <w:tcPr>
            <w:tcW w:w="1438" w:type="pct"/>
            <w:shd w:val="clear" w:color="auto" w:fill="99CCFF"/>
            <w:vAlign w:val="center"/>
          </w:tcPr>
          <w:p w:rsidR="00A23F33" w:rsidRPr="006B4515" w:rsidRDefault="00A23F33" w:rsidP="002E2DC5">
            <w:pPr>
              <w:spacing w:before="120" w:after="120" w:line="240" w:lineRule="auto"/>
              <w:jc w:val="center"/>
              <w:rPr>
                <w:b/>
              </w:rPr>
            </w:pPr>
            <w:r w:rsidRPr="006B4515">
              <w:rPr>
                <w:b/>
              </w:rPr>
              <w:t>Wydatki związane z</w:t>
            </w:r>
            <w:r w:rsidR="002E2DC5">
              <w:rPr>
                <w:b/>
              </w:rPr>
              <w:t> </w:t>
            </w:r>
            <w:r w:rsidRPr="006B4515">
              <w:rPr>
                <w:b/>
              </w:rPr>
              <w:t>realizacją projektu</w:t>
            </w:r>
          </w:p>
        </w:tc>
        <w:tc>
          <w:tcPr>
            <w:tcW w:w="3562" w:type="pct"/>
            <w:vAlign w:val="center"/>
          </w:tcPr>
          <w:p w:rsidR="00A23F33" w:rsidRPr="006B4515" w:rsidRDefault="00A23F33" w:rsidP="00D44C8D">
            <w:pPr>
              <w:spacing w:before="120" w:after="120" w:line="240" w:lineRule="auto"/>
              <w:jc w:val="both"/>
            </w:pPr>
            <w:r w:rsidRPr="006B4515">
              <w:t xml:space="preserve">Niekwalifikowalne są: </w:t>
            </w:r>
          </w:p>
          <w:p w:rsidR="00A23F33" w:rsidRPr="006B4515" w:rsidRDefault="00A23F33" w:rsidP="00D44C8D">
            <w:pPr>
              <w:numPr>
                <w:ilvl w:val="0"/>
                <w:numId w:val="33"/>
              </w:numPr>
              <w:spacing w:after="0" w:line="240" w:lineRule="auto"/>
            </w:pPr>
            <w:r w:rsidRPr="006B4515">
              <w:t>wydatki na usługi w zakresie księgowości;</w:t>
            </w:r>
          </w:p>
          <w:p w:rsidR="00A23F33" w:rsidRPr="006B4515" w:rsidRDefault="00A23F33" w:rsidP="00D44C8D">
            <w:pPr>
              <w:numPr>
                <w:ilvl w:val="0"/>
                <w:numId w:val="33"/>
              </w:numPr>
              <w:spacing w:after="0" w:line="240" w:lineRule="auto"/>
            </w:pPr>
            <w:r w:rsidRPr="006B4515">
              <w:t>wydatki na usługi w zakresie audytu, o ile ich poniesienie nie jest wymagane przez IZ RPO/IP RPO bądź nie wynika ze specyfiki projektu i nie jest wymagane przepisami prawa;</w:t>
            </w:r>
          </w:p>
          <w:p w:rsidR="00A23F33" w:rsidRPr="006B4515" w:rsidRDefault="00A23F33" w:rsidP="00D44C8D">
            <w:pPr>
              <w:numPr>
                <w:ilvl w:val="0"/>
                <w:numId w:val="33"/>
              </w:numPr>
              <w:spacing w:after="120" w:line="240" w:lineRule="auto"/>
              <w:ind w:left="357" w:hanging="357"/>
            </w:pPr>
            <w:r w:rsidRPr="006B4515">
              <w:t>wydatki na ewaluację.</w:t>
            </w:r>
          </w:p>
        </w:tc>
      </w:tr>
      <w:tr w:rsidR="00A23F33" w:rsidRPr="006B4515" w:rsidTr="009A053B">
        <w:tc>
          <w:tcPr>
            <w:tcW w:w="1438" w:type="pct"/>
            <w:shd w:val="clear" w:color="auto" w:fill="99CCFF"/>
            <w:vAlign w:val="center"/>
          </w:tcPr>
          <w:p w:rsidR="00A23F33" w:rsidRPr="006B4515" w:rsidRDefault="00A23F33" w:rsidP="002E2DC5">
            <w:pPr>
              <w:spacing w:before="120" w:after="120" w:line="240" w:lineRule="auto"/>
              <w:jc w:val="center"/>
              <w:rPr>
                <w:b/>
              </w:rPr>
            </w:pPr>
            <w:r w:rsidRPr="006B4515">
              <w:rPr>
                <w:b/>
              </w:rPr>
              <w:t>Wydatki/koszty osobowe</w:t>
            </w:r>
            <w:r w:rsidR="002E2DC5">
              <w:rPr>
                <w:b/>
              </w:rPr>
              <w:t xml:space="preserve"> </w:t>
            </w:r>
            <w:r w:rsidRPr="006B4515">
              <w:rPr>
                <w:b/>
              </w:rPr>
              <w:t>związane z zarządzaniem</w:t>
            </w:r>
            <w:r w:rsidR="002E2DC5">
              <w:rPr>
                <w:b/>
              </w:rPr>
              <w:t xml:space="preserve"> </w:t>
            </w:r>
            <w:r w:rsidRPr="006B4515">
              <w:rPr>
                <w:b/>
              </w:rPr>
              <w:t>projektem</w:t>
            </w:r>
          </w:p>
        </w:tc>
        <w:tc>
          <w:tcPr>
            <w:tcW w:w="3562" w:type="pct"/>
            <w:vAlign w:val="center"/>
          </w:tcPr>
          <w:p w:rsidR="00A23F33" w:rsidRPr="006B4515" w:rsidRDefault="00A23F33" w:rsidP="00D44C8D">
            <w:pPr>
              <w:pStyle w:val="Akapitzlist"/>
              <w:spacing w:before="120" w:after="120" w:line="240" w:lineRule="auto"/>
              <w:ind w:left="0"/>
              <w:jc w:val="both"/>
            </w:pPr>
            <w:r w:rsidRPr="006B4515">
              <w:t>Kwalifikowalne są wydatki związane z wynagrodzeniem osoby wykonującej – na podstawie stosunku pracy w oparciu o przepisy kodeksu pracy lub na podstawie umowy cywilnoprawnej bądź innej nienazwanej w oparciu o przepisy kodeksu cywilnego –</w:t>
            </w:r>
            <w:r w:rsidR="003B2988">
              <w:t xml:space="preserve"> </w:t>
            </w:r>
            <w:r w:rsidRPr="006B4515">
              <w:t xml:space="preserve">na rzecz </w:t>
            </w:r>
            <w:r w:rsidR="00261786">
              <w:t>B</w:t>
            </w:r>
            <w:r w:rsidRPr="006B4515">
              <w:t>eneficjenta, partnera w projekcie lub podmiotu realizującego projekt czynności związane z zarządzaniem projektem, nieprzekraczające 1% całkowitych wydatków kwalifikowalnych w ramach projektu (2% dla projektów o wartości poniżej 500 000 PLN wydatków kwalifikowalnych) i nie przekraczające 5 000 PLN brutto miesięcznie. Limit 5 000 PLN brutto miesięcznie jest liczony na poziomie projektu, niezależnie od ilości osób zaangażowanych w zarządzanie projektem. Przy czym kwalifikowalne mogą być wydatki osobowe związane z wynagrodzeniem ww. osób przy wykonywaniu ww. czynności w projekcie, jeżeli łącznie spełnione zostaną m.in. następujące warunki:</w:t>
            </w:r>
          </w:p>
          <w:p w:rsidR="00A23F33" w:rsidRPr="006B4515" w:rsidRDefault="00A23F33" w:rsidP="00D44C8D">
            <w:pPr>
              <w:numPr>
                <w:ilvl w:val="0"/>
                <w:numId w:val="32"/>
              </w:numPr>
              <w:spacing w:after="0" w:line="240" w:lineRule="auto"/>
            </w:pPr>
            <w:r w:rsidRPr="006B4515">
              <w:t>ww. osoba jest bezpośrednio zaangażowana w wykonywanie ww. czynności w ramach projektu;</w:t>
            </w:r>
          </w:p>
          <w:p w:rsidR="00A23F33" w:rsidRPr="006B4515" w:rsidRDefault="00A23F33" w:rsidP="00D44C8D">
            <w:pPr>
              <w:numPr>
                <w:ilvl w:val="0"/>
                <w:numId w:val="32"/>
              </w:numPr>
              <w:spacing w:after="0" w:line="240" w:lineRule="auto"/>
            </w:pPr>
            <w:r w:rsidRPr="006B4515">
              <w:t>mogą być uwzględniane tylko te ww. osoby, które w co najmniej 25% czasu w danym okresie rozliczeniowym wykonują zadania kwalifikowalne w ramach projektu; wówczas za kwalifikowalną może być uznana ta część wynagrodzenia, która odpowiada procentowemu bezpośredniemu zaangażowaniu ww. osoby w wykonywanie czynności w ramach projektu;</w:t>
            </w:r>
          </w:p>
          <w:p w:rsidR="00A23F33" w:rsidRPr="006B4515" w:rsidRDefault="00A23F33" w:rsidP="00D44C8D">
            <w:pPr>
              <w:numPr>
                <w:ilvl w:val="0"/>
                <w:numId w:val="32"/>
              </w:numPr>
              <w:spacing w:after="0" w:line="240" w:lineRule="auto"/>
            </w:pPr>
            <w:r w:rsidRPr="006B4515">
              <w:t>wydatki ponoszone są wyłącznie w okresie realizacji projektu oraz za okres, w którym ww. osoba wykonywała faktycznie czynności związane w ramach projektu.</w:t>
            </w:r>
          </w:p>
          <w:p w:rsidR="00A23F33" w:rsidRPr="006B4515" w:rsidRDefault="00A23F33" w:rsidP="00D44C8D">
            <w:pPr>
              <w:spacing w:before="120" w:after="120" w:line="240" w:lineRule="auto"/>
              <w:ind w:left="45"/>
              <w:jc w:val="both"/>
            </w:pPr>
            <w:r w:rsidRPr="006B4515">
              <w:t>Ze względu na specyficzny charakter niektórych projektów, gdzie koszty zarządzania stanowią istotny element projektu, limit wydatków wzrasta do 3% bez ograniczenia w kwocie miesięcznej. Specyfika ta dotyczy projektów realizowanych w ramach następujących schematów:</w:t>
            </w:r>
          </w:p>
          <w:p w:rsidR="00A23F33" w:rsidRPr="006B4515" w:rsidRDefault="00A23F33" w:rsidP="00D44C8D">
            <w:pPr>
              <w:numPr>
                <w:ilvl w:val="0"/>
                <w:numId w:val="31"/>
              </w:numPr>
              <w:spacing w:after="0" w:line="240" w:lineRule="auto"/>
            </w:pPr>
            <w:r w:rsidRPr="006B4515">
              <w:t>1.4 B</w:t>
            </w:r>
            <w:r w:rsidR="00B73188">
              <w:t xml:space="preserve"> </w:t>
            </w:r>
            <w:r w:rsidRPr="006B4515">
              <w:t>c i C</w:t>
            </w:r>
            <w:r w:rsidR="00D44C8D" w:rsidRPr="006B4515">
              <w:t>;</w:t>
            </w:r>
          </w:p>
          <w:p w:rsidR="00A23F33" w:rsidRPr="006B4515" w:rsidRDefault="00C34307" w:rsidP="00D44C8D">
            <w:pPr>
              <w:numPr>
                <w:ilvl w:val="0"/>
                <w:numId w:val="31"/>
              </w:numPr>
              <w:spacing w:after="0" w:line="240" w:lineRule="auto"/>
            </w:pPr>
            <w:r>
              <w:t xml:space="preserve">3.4 </w:t>
            </w:r>
            <w:r w:rsidR="00A23F33" w:rsidRPr="006B4515">
              <w:t>B.</w:t>
            </w:r>
          </w:p>
          <w:p w:rsidR="00A23F33" w:rsidRPr="006B4515" w:rsidRDefault="00A23F33" w:rsidP="00D44C8D">
            <w:pPr>
              <w:spacing w:before="120" w:after="120" w:line="240" w:lineRule="auto"/>
              <w:jc w:val="both"/>
            </w:pPr>
            <w:r w:rsidRPr="006B4515">
              <w:t>Katalog schematów może być przez IZ RPO WD uzupełniany w trakcie wdrażania programu.</w:t>
            </w:r>
          </w:p>
          <w:p w:rsidR="00A23F33" w:rsidRPr="006B4515" w:rsidRDefault="00A23F33" w:rsidP="00D44C8D">
            <w:pPr>
              <w:spacing w:before="120" w:after="120" w:line="240" w:lineRule="auto"/>
              <w:jc w:val="both"/>
            </w:pPr>
            <w:r w:rsidRPr="006B4515">
              <w:t xml:space="preserve">Powyższe ograniczenia nie dotyczą projektów grantowych, </w:t>
            </w:r>
            <w:r w:rsidRPr="006B4515">
              <w:rPr>
                <w:u w:val="single"/>
              </w:rPr>
              <w:t>dla których stosowne uregulowania znajdą się w regulaminach konkursów</w:t>
            </w:r>
            <w:r w:rsidRPr="006B4515">
              <w:t>.</w:t>
            </w:r>
          </w:p>
          <w:p w:rsidR="00A23F33" w:rsidRPr="006B4515" w:rsidRDefault="00A23F33" w:rsidP="00CA154F">
            <w:pPr>
              <w:spacing w:before="120" w:after="120" w:line="240" w:lineRule="auto"/>
              <w:jc w:val="both"/>
            </w:pPr>
            <w:r w:rsidRPr="006B4515">
              <w:t>W przypadku, gdy zarządzanie projektem jest wykonywane przez podmiot wybrany zgo</w:t>
            </w:r>
            <w:r w:rsidR="00D44C8D" w:rsidRPr="006B4515">
              <w:t xml:space="preserve">dnie z zasadą </w:t>
            </w:r>
            <w:r w:rsidR="00CA154F" w:rsidRPr="00A326B2">
              <w:t xml:space="preserve">udzielania zamówień (zasadą udzielania zamówień do 20 000 zł, zasadą udzielania zamówień od 20 000 zł do 50 000 zł, </w:t>
            </w:r>
            <w:r w:rsidR="0080714A" w:rsidRPr="00A326B2">
              <w:t xml:space="preserve">zasadą </w:t>
            </w:r>
            <w:r w:rsidR="00D44C8D" w:rsidRPr="006B4515">
              <w:t>konkurencyjności/</w:t>
            </w:r>
            <w:r w:rsidRPr="006B4515">
              <w:t>ustawą Prawo zamówień publicznych</w:t>
            </w:r>
            <w:r w:rsidR="00CA154F">
              <w:t>)</w:t>
            </w:r>
            <w:r w:rsidRPr="006B4515">
              <w:t xml:space="preserve"> wydatki dotyczące jego wynagrodzenia są kwalifikowalne w takiej wysokości, jaka wynika z podpisanej umowy</w:t>
            </w:r>
            <w:r w:rsidR="00CA154F">
              <w:t>.</w:t>
            </w:r>
          </w:p>
        </w:tc>
      </w:tr>
      <w:tr w:rsidR="00A23F33" w:rsidRPr="006B4515" w:rsidTr="009A053B">
        <w:tc>
          <w:tcPr>
            <w:tcW w:w="1438" w:type="pct"/>
            <w:shd w:val="clear" w:color="auto" w:fill="99CCFF"/>
            <w:vAlign w:val="center"/>
          </w:tcPr>
          <w:p w:rsidR="00A23F33" w:rsidRPr="006B4515" w:rsidRDefault="00A23F33" w:rsidP="00B73188">
            <w:pPr>
              <w:spacing w:before="120" w:after="120" w:line="240" w:lineRule="auto"/>
              <w:jc w:val="center"/>
              <w:rPr>
                <w:b/>
              </w:rPr>
            </w:pPr>
            <w:r w:rsidRPr="006B4515">
              <w:rPr>
                <w:b/>
              </w:rPr>
              <w:t>Wydatki/koszty osobowe</w:t>
            </w:r>
            <w:r w:rsidR="00B73188">
              <w:rPr>
                <w:b/>
              </w:rPr>
              <w:t xml:space="preserve"> </w:t>
            </w:r>
            <w:r w:rsidRPr="006B4515">
              <w:rPr>
                <w:b/>
              </w:rPr>
              <w:t xml:space="preserve">związane </w:t>
            </w:r>
            <w:r w:rsidR="00B73188">
              <w:rPr>
                <w:b/>
              </w:rPr>
              <w:br/>
            </w:r>
            <w:r w:rsidRPr="006B4515">
              <w:rPr>
                <w:b/>
              </w:rPr>
              <w:t>z zaangażowaniem personelu (kadry merytorycznej)</w:t>
            </w:r>
          </w:p>
        </w:tc>
        <w:tc>
          <w:tcPr>
            <w:tcW w:w="3562" w:type="pct"/>
            <w:vAlign w:val="center"/>
          </w:tcPr>
          <w:p w:rsidR="00A23F33" w:rsidRPr="006B4515" w:rsidRDefault="00A23F33" w:rsidP="003B2988">
            <w:pPr>
              <w:pStyle w:val="Akapitzlist"/>
              <w:spacing w:before="120" w:after="120" w:line="240" w:lineRule="auto"/>
              <w:ind w:left="0"/>
              <w:jc w:val="both"/>
            </w:pPr>
            <w:r w:rsidRPr="006B4515">
              <w:t>Koszty związane z wynagrodzeniem personelu są kwalifikowane w</w:t>
            </w:r>
            <w:r w:rsidR="003B2988">
              <w:t> </w:t>
            </w:r>
            <w:r w:rsidRPr="006B4515">
              <w:t xml:space="preserve">ramach projektu, o ile wynika to ze specyfiki projektu, na warunkach określonych w </w:t>
            </w:r>
            <w:r w:rsidRPr="006B4515">
              <w:rPr>
                <w:i/>
              </w:rPr>
              <w:t>„Wytycznych w zakresie kwalifikowalności wydatków w ramach Europejskiego Funduszu Rozwoju Regionalnego, Europejskiego Funduszu Społecznego oraz Funduszu Spójności na lata 2014-2020”</w:t>
            </w:r>
          </w:p>
        </w:tc>
      </w:tr>
      <w:tr w:rsidR="00A23F33" w:rsidRPr="006B4515" w:rsidTr="009A053B">
        <w:tc>
          <w:tcPr>
            <w:tcW w:w="1438" w:type="pct"/>
            <w:shd w:val="clear" w:color="auto" w:fill="99CCFF"/>
            <w:vAlign w:val="center"/>
          </w:tcPr>
          <w:p w:rsidR="00A23F33" w:rsidRPr="006B4515" w:rsidRDefault="00D44C8D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6B4515">
              <w:rPr>
                <w:b/>
              </w:rPr>
              <w:t>Koszty bieżącego utrzymania</w:t>
            </w:r>
            <w:r w:rsidR="00A23F33" w:rsidRPr="006B4515">
              <w:rPr>
                <w:b/>
              </w:rPr>
              <w:t>/koszty wyposażenia stanowiska pracy (jeżeli nie jest to celem projektu)</w:t>
            </w:r>
            <w:r w:rsidRPr="006B4515">
              <w:rPr>
                <w:b/>
              </w:rPr>
              <w:t>/</w:t>
            </w:r>
            <w:r w:rsidR="00A23F33" w:rsidRPr="006B4515">
              <w:rPr>
                <w:b/>
              </w:rPr>
              <w:t>koszty operacyjne/bieżące</w:t>
            </w:r>
          </w:p>
        </w:tc>
        <w:tc>
          <w:tcPr>
            <w:tcW w:w="3562" w:type="pct"/>
            <w:vAlign w:val="center"/>
          </w:tcPr>
          <w:p w:rsidR="00A23F33" w:rsidRPr="006B4515" w:rsidRDefault="00A23F33" w:rsidP="00D44C8D">
            <w:pPr>
              <w:spacing w:before="120" w:after="120" w:line="240" w:lineRule="auto"/>
              <w:jc w:val="both"/>
            </w:pPr>
            <w:r w:rsidRPr="006B4515">
              <w:t>Koszty bieżącego utrzymania/koszty wyposażenia stanowiska pracy (jeżeli nie jest to celem projektu)/ koszty operacyjne/bieżące stanowią wydatki niekwalifikowalne.</w:t>
            </w:r>
          </w:p>
          <w:p w:rsidR="00A23F33" w:rsidRPr="006B4515" w:rsidRDefault="00A23F33" w:rsidP="00D44C8D">
            <w:pPr>
              <w:spacing w:before="120" w:after="120" w:line="240" w:lineRule="auto"/>
              <w:jc w:val="both"/>
            </w:pPr>
            <w:r w:rsidRPr="006B4515">
              <w:t xml:space="preserve">Powyższe ograniczenia nie dotyczą projektów grantowych, </w:t>
            </w:r>
            <w:r w:rsidRPr="006B4515">
              <w:rPr>
                <w:u w:val="single"/>
              </w:rPr>
              <w:t>dla których stosowne uregulowania znajdą się w regulaminach konkursów</w:t>
            </w:r>
            <w:r w:rsidRPr="006B4515">
              <w:t>.</w:t>
            </w:r>
          </w:p>
        </w:tc>
      </w:tr>
      <w:tr w:rsidR="00A23F33" w:rsidRPr="006B4515" w:rsidTr="009A053B">
        <w:tc>
          <w:tcPr>
            <w:tcW w:w="1438" w:type="pct"/>
            <w:shd w:val="clear" w:color="auto" w:fill="99CCFF"/>
            <w:vAlign w:val="center"/>
          </w:tcPr>
          <w:p w:rsidR="00A23F33" w:rsidRPr="006B4515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6B4515">
              <w:rPr>
                <w:b/>
              </w:rPr>
              <w:t xml:space="preserve">Wydatki związane </w:t>
            </w:r>
            <w:r w:rsidR="00B73188">
              <w:rPr>
                <w:b/>
              </w:rPr>
              <w:br/>
            </w:r>
            <w:r w:rsidRPr="006B4515">
              <w:rPr>
                <w:b/>
              </w:rPr>
              <w:t>z działaniami informacyjno-promocyjnymi projektu</w:t>
            </w:r>
          </w:p>
        </w:tc>
        <w:tc>
          <w:tcPr>
            <w:tcW w:w="3562" w:type="pct"/>
            <w:vAlign w:val="center"/>
          </w:tcPr>
          <w:p w:rsidR="00A23F33" w:rsidRPr="006B4515" w:rsidRDefault="00A23F33" w:rsidP="00D44C8D">
            <w:pPr>
              <w:spacing w:before="120" w:after="120" w:line="240" w:lineRule="auto"/>
              <w:jc w:val="both"/>
            </w:pPr>
            <w:r w:rsidRPr="006B4515">
              <w:t xml:space="preserve">Wydatki związane z działaniami informacyjno-promocyjnymi przekraczające 2% wydatków kwalifikowalnych dla projektów o wartości poniżej 500 000 PLN wydatków kwalifikowalnych lub 1% dla projektów o wartości wydatków kwalifikowalnych nie niższych niż 500 000 PLN. Limit weryfikowany jest jednorazowo w momencie oceny wniosku o dofinansowanie. </w:t>
            </w:r>
          </w:p>
          <w:p w:rsidR="00A23F33" w:rsidRPr="006B4515" w:rsidRDefault="00A23F33" w:rsidP="00D44C8D">
            <w:pPr>
              <w:spacing w:before="120" w:after="120" w:line="240" w:lineRule="auto"/>
              <w:jc w:val="both"/>
            </w:pPr>
            <w:r w:rsidRPr="006B4515">
              <w:t xml:space="preserve">Powyższe ograniczenia nie dotyczą projektów grantowych, </w:t>
            </w:r>
            <w:r w:rsidRPr="006B4515">
              <w:rPr>
                <w:u w:val="single"/>
              </w:rPr>
              <w:t>dla których stosowne uregulowania znajdą się w regulaminach konkursów</w:t>
            </w:r>
            <w:r w:rsidRPr="006B4515">
              <w:t>.</w:t>
            </w:r>
          </w:p>
        </w:tc>
      </w:tr>
      <w:tr w:rsidR="00A23F33" w:rsidRPr="006B4515" w:rsidTr="009A053B">
        <w:tc>
          <w:tcPr>
            <w:tcW w:w="1438" w:type="pct"/>
            <w:shd w:val="clear" w:color="auto" w:fill="99CCFF"/>
            <w:vAlign w:val="center"/>
          </w:tcPr>
          <w:p w:rsidR="00A23F33" w:rsidRPr="006B4515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6B4515">
              <w:rPr>
                <w:b/>
              </w:rPr>
              <w:t>Rezerwa</w:t>
            </w:r>
          </w:p>
        </w:tc>
        <w:tc>
          <w:tcPr>
            <w:tcW w:w="3562" w:type="pct"/>
            <w:vAlign w:val="center"/>
          </w:tcPr>
          <w:p w:rsidR="00A23F33" w:rsidRPr="006B4515" w:rsidRDefault="00A23F33" w:rsidP="00D44C8D">
            <w:pPr>
              <w:spacing w:before="120" w:after="120" w:line="240" w:lineRule="auto"/>
              <w:jc w:val="both"/>
            </w:pPr>
            <w:r w:rsidRPr="006B4515">
              <w:rPr>
                <w:rFonts w:eastAsia="Calibri"/>
              </w:rPr>
              <w:t xml:space="preserve">Rezerwa na </w:t>
            </w:r>
            <w:r w:rsidRPr="006B4515">
              <w:t>wypadek przekroczenia ilości robót oszacowanych w przedmiarze lub na</w:t>
            </w:r>
            <w:r w:rsidRPr="006B4515">
              <w:rPr>
                <w:rFonts w:eastAsia="Calibri"/>
              </w:rPr>
              <w:t xml:space="preserve"> pokrycie nieprzewidzianych wydatków w projekcie bądź inne nieprzewidziane wydatki w projekcie.</w:t>
            </w:r>
          </w:p>
        </w:tc>
      </w:tr>
      <w:tr w:rsidR="00A23F33" w:rsidRPr="006B4515" w:rsidTr="009A053B">
        <w:tc>
          <w:tcPr>
            <w:tcW w:w="1438" w:type="pct"/>
            <w:shd w:val="clear" w:color="auto" w:fill="99CCFF"/>
            <w:vAlign w:val="center"/>
          </w:tcPr>
          <w:p w:rsidR="00A23F33" w:rsidRPr="006B4515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6B4515">
              <w:rPr>
                <w:b/>
              </w:rPr>
              <w:t>Płatności kartą</w:t>
            </w:r>
          </w:p>
        </w:tc>
        <w:tc>
          <w:tcPr>
            <w:tcW w:w="3562" w:type="pct"/>
            <w:vAlign w:val="center"/>
          </w:tcPr>
          <w:p w:rsidR="00A23F33" w:rsidRPr="006B4515" w:rsidRDefault="00A23F33" w:rsidP="00D44C8D">
            <w:pPr>
              <w:spacing w:before="120" w:after="120" w:line="240" w:lineRule="auto"/>
              <w:jc w:val="both"/>
            </w:pPr>
            <w:r w:rsidRPr="006B4515">
              <w:t xml:space="preserve">Płatności dokonywane kartą płatniczą, która nie jest powiązana z rachunkiem </w:t>
            </w:r>
            <w:r w:rsidR="00D44C8D" w:rsidRPr="006B4515">
              <w:t>B</w:t>
            </w:r>
            <w:r w:rsidRPr="006B4515">
              <w:t>eneficjenta/podmiotu realizującego projekt.</w:t>
            </w:r>
          </w:p>
        </w:tc>
      </w:tr>
      <w:tr w:rsidR="00A23F33" w:rsidRPr="006B4515" w:rsidTr="009A053B">
        <w:tc>
          <w:tcPr>
            <w:tcW w:w="1438" w:type="pct"/>
            <w:shd w:val="clear" w:color="auto" w:fill="99CCFF"/>
            <w:vAlign w:val="center"/>
          </w:tcPr>
          <w:p w:rsidR="00A23F33" w:rsidRPr="006B4515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6B4515">
              <w:rPr>
                <w:b/>
              </w:rPr>
              <w:t>Zwiększenie wynagrodzenia</w:t>
            </w:r>
          </w:p>
        </w:tc>
        <w:tc>
          <w:tcPr>
            <w:tcW w:w="3562" w:type="pct"/>
            <w:vAlign w:val="center"/>
          </w:tcPr>
          <w:p w:rsidR="00A23F33" w:rsidRPr="006B4515" w:rsidRDefault="00A23F33" w:rsidP="00D44C8D">
            <w:pPr>
              <w:spacing w:before="120" w:after="120" w:line="240" w:lineRule="auto"/>
              <w:jc w:val="both"/>
            </w:pPr>
            <w:r w:rsidRPr="006B4515">
              <w:t xml:space="preserve">Zwiększenie wynagrodzenia wykonawcy na skutek okoliczności opisanych w punkcie 6.3 1) i) </w:t>
            </w:r>
            <w:proofErr w:type="spellStart"/>
            <w:r w:rsidRPr="006B4515">
              <w:t>tiret</w:t>
            </w:r>
            <w:proofErr w:type="spellEnd"/>
            <w:r w:rsidRPr="006B4515">
              <w:t xml:space="preserve"> iii, iv, v </w:t>
            </w:r>
            <w:r w:rsidR="00BF6BA2">
              <w:t xml:space="preserve">wytycznych horyzontalnych </w:t>
            </w:r>
            <w:r w:rsidRPr="006B4515">
              <w:t xml:space="preserve">stanowi wydatek kwalifikowalny. </w:t>
            </w:r>
          </w:p>
        </w:tc>
      </w:tr>
      <w:tr w:rsidR="00A23F33" w:rsidRPr="006B4515" w:rsidTr="009A053B">
        <w:tc>
          <w:tcPr>
            <w:tcW w:w="1438" w:type="pct"/>
            <w:shd w:val="clear" w:color="auto" w:fill="99CCFF"/>
            <w:vAlign w:val="center"/>
          </w:tcPr>
          <w:p w:rsidR="00A23F33" w:rsidRPr="002E2DC5" w:rsidRDefault="00A23F33" w:rsidP="00D44C8D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2E2DC5">
              <w:rPr>
                <w:b/>
                <w:i/>
              </w:rPr>
              <w:t>Cross</w:t>
            </w:r>
            <w:r w:rsidR="00D44C8D" w:rsidRPr="002E2DC5">
              <w:rPr>
                <w:b/>
                <w:i/>
              </w:rPr>
              <w:t>-</w:t>
            </w:r>
            <w:proofErr w:type="spellStart"/>
            <w:r w:rsidRPr="002E2DC5">
              <w:rPr>
                <w:b/>
                <w:i/>
              </w:rPr>
              <w:t>financing</w:t>
            </w:r>
            <w:proofErr w:type="spellEnd"/>
          </w:p>
        </w:tc>
        <w:tc>
          <w:tcPr>
            <w:tcW w:w="3562" w:type="pct"/>
            <w:vAlign w:val="center"/>
          </w:tcPr>
          <w:p w:rsidR="00A23F33" w:rsidRPr="006B4515" w:rsidRDefault="00A23F33" w:rsidP="00D44C8D">
            <w:pPr>
              <w:spacing w:before="120" w:after="120" w:line="240" w:lineRule="auto"/>
              <w:jc w:val="both"/>
            </w:pPr>
            <w:r w:rsidRPr="006B4515">
              <w:t>Wydatki przekraczające wartość 10% całkowitych wydatków kwalifikowalnych w projekcie, chyba że w działaniu przewidziano inny poziom. Pod warunkiem uzyskania uprzedniej zgody IZ RPO WD, uzasadnione wydatki ponad limit są kwalifikowalne.</w:t>
            </w:r>
          </w:p>
        </w:tc>
      </w:tr>
    </w:tbl>
    <w:p w:rsidR="003A2CB6" w:rsidRDefault="003A2CB6" w:rsidP="00C34307">
      <w:pPr>
        <w:jc w:val="both"/>
        <w:rPr>
          <w:b/>
          <w:color w:val="0D0D0D" w:themeColor="text1" w:themeTint="F2"/>
          <w:u w:val="single"/>
        </w:rPr>
      </w:pPr>
    </w:p>
    <w:p w:rsidR="001F2B8F" w:rsidRPr="001F2B8F" w:rsidRDefault="001F2B8F" w:rsidP="001F2B8F">
      <w:pPr>
        <w:pStyle w:val="Default"/>
        <w:jc w:val="both"/>
        <w:rPr>
          <w:sz w:val="22"/>
          <w:szCs w:val="22"/>
        </w:rPr>
      </w:pPr>
    </w:p>
    <w:p w:rsidR="00A23F33" w:rsidRDefault="004A2A2C" w:rsidP="003B2988">
      <w:pPr>
        <w:jc w:val="both"/>
        <w:rPr>
          <w:b/>
        </w:rPr>
      </w:pPr>
      <w:r>
        <w:rPr>
          <w:b/>
        </w:rPr>
        <w:t>4.2</w:t>
      </w:r>
      <w:r w:rsidR="00921C21" w:rsidRPr="003A2CB6">
        <w:rPr>
          <w:b/>
        </w:rPr>
        <w:t xml:space="preserve"> </w:t>
      </w:r>
      <w:r w:rsidR="003B2988">
        <w:rPr>
          <w:b/>
        </w:rPr>
        <w:t xml:space="preserve">Szczegółowe </w:t>
      </w:r>
      <w:r w:rsidR="00D44C8D" w:rsidRPr="003A2CB6">
        <w:rPr>
          <w:b/>
        </w:rPr>
        <w:t>zapisy dotyczące</w:t>
      </w:r>
      <w:r w:rsidR="00A23F33" w:rsidRPr="003A2CB6">
        <w:rPr>
          <w:b/>
        </w:rPr>
        <w:t xml:space="preserve"> poszczególnych Działań – wydatki niekwalifikowalne</w:t>
      </w:r>
    </w:p>
    <w:p w:rsidR="00A23F33" w:rsidRPr="006B4515" w:rsidRDefault="00A23F33" w:rsidP="003B2988">
      <w:pPr>
        <w:jc w:val="both"/>
        <w:rPr>
          <w:b/>
        </w:rPr>
      </w:pPr>
      <w:r w:rsidRPr="006B4515">
        <w:rPr>
          <w:b/>
        </w:rPr>
        <w:t>1.1 Wzmacnianie potencjału B+R i wdrożeniowego uczelni i jednostek naukowych: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 xml:space="preserve">Koszty wynagrodzeń. 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osobowe związane z zarządzaniem projektem i realizacją projektu.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na obsługę techniczną/koszty utrzymania.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na infrastrukturę do badań podstawowych</w:t>
      </w:r>
      <w:r w:rsidRPr="006B4515">
        <w:rPr>
          <w:rFonts w:eastAsia="Times New Roman" w:cs="Times New Roman"/>
          <w:vertAlign w:val="superscript"/>
        </w:rPr>
        <w:footnoteReference w:id="3"/>
      </w:r>
      <w:r w:rsidRPr="006B4515">
        <w:rPr>
          <w:rFonts w:eastAsia="Times New Roman" w:cs="Times New Roman"/>
        </w:rPr>
        <w:t>, jeśli nie jest ona zgodna z zakresem regionalnych strategii inteligentnej specjalizacji i nie ma uzasadnienia, w jaki sposób rezultaty projektu mogą się przełożyć na rozwój regionu.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</w:pPr>
      <w:r w:rsidRPr="006B4515">
        <w:rPr>
          <w:rFonts w:eastAsia="Times New Roman" w:cs="Times New Roman"/>
        </w:rPr>
        <w:t>Wydatki na infrastrukturę TIK jeśli nie zostanie uzasadniona ich celowość w kont</w:t>
      </w:r>
      <w:r w:rsidR="0040430E">
        <w:rPr>
          <w:rFonts w:eastAsia="Times New Roman" w:cs="Times New Roman"/>
        </w:rPr>
        <w:t>ekście planowanej działalności W</w:t>
      </w:r>
      <w:r w:rsidRPr="006B4515">
        <w:rPr>
          <w:rFonts w:eastAsia="Times New Roman" w:cs="Times New Roman"/>
        </w:rPr>
        <w:t xml:space="preserve">nioskodawcy w zakresie B+R. </w:t>
      </w:r>
    </w:p>
    <w:p w:rsidR="00A23F33" w:rsidRPr="006B4515" w:rsidRDefault="00A23F33" w:rsidP="003B2988">
      <w:pPr>
        <w:pStyle w:val="Akapitzlist"/>
        <w:spacing w:after="0"/>
        <w:jc w:val="both"/>
      </w:pPr>
    </w:p>
    <w:p w:rsidR="00A23F33" w:rsidRPr="006B4515" w:rsidRDefault="00A23F33" w:rsidP="003B2988">
      <w:pPr>
        <w:jc w:val="both"/>
        <w:rPr>
          <w:b/>
        </w:rPr>
      </w:pPr>
      <w:r w:rsidRPr="006B4515">
        <w:rPr>
          <w:b/>
        </w:rPr>
        <w:t>1.2 Innowacyjne przedsiębiorstwa:</w:t>
      </w:r>
    </w:p>
    <w:p w:rsidR="00A23F33" w:rsidRPr="006B4515" w:rsidRDefault="00C34307" w:rsidP="003B2988">
      <w:pPr>
        <w:jc w:val="both"/>
        <w:rPr>
          <w:b/>
        </w:rPr>
      </w:pPr>
      <w:r>
        <w:rPr>
          <w:b/>
        </w:rPr>
        <w:t xml:space="preserve">1.2 </w:t>
      </w:r>
      <w:r w:rsidR="00A23F33" w:rsidRPr="006B4515">
        <w:rPr>
          <w:b/>
        </w:rPr>
        <w:t>A:</w:t>
      </w:r>
    </w:p>
    <w:p w:rsidR="00A23F33" w:rsidRPr="001D4A2D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t>Wydatki związane z działaniami informacyjno-promocyjnymi projektu.</w:t>
      </w:r>
    </w:p>
    <w:p w:rsidR="00A23F33" w:rsidRPr="006B4515" w:rsidRDefault="00A23F33" w:rsidP="003B2988">
      <w:pPr>
        <w:pStyle w:val="Akapitzlist"/>
        <w:spacing w:after="0"/>
        <w:jc w:val="both"/>
      </w:pPr>
    </w:p>
    <w:p w:rsidR="00A23F33" w:rsidRPr="006B4515" w:rsidRDefault="00C34307" w:rsidP="003B2988">
      <w:p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1.2 </w:t>
      </w:r>
      <w:r w:rsidR="00A23F33" w:rsidRPr="006B4515">
        <w:rPr>
          <w:rFonts w:eastAsia="Times New Roman" w:cs="Times New Roman"/>
          <w:b/>
        </w:rPr>
        <w:t>B:</w:t>
      </w:r>
    </w:p>
    <w:p w:rsidR="00A23F33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Wkład niepieniężny stanowiący część wkładu własnego przekraczający 10% całkowitych wydatków kwalifikowalnych.</w:t>
      </w:r>
    </w:p>
    <w:p w:rsidR="00F64A55" w:rsidRPr="006B4515" w:rsidRDefault="00F64A55" w:rsidP="00F64A55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Szacunkowe koszty płacy wynikające z utworzenia miejsc pracy w następstwie inwestycji początkowej</w:t>
      </w:r>
      <w:r w:rsidR="001E1928" w:rsidRPr="00BA0A54">
        <w:rPr>
          <w:rStyle w:val="Odwoanieprzypisudolnego"/>
          <w:rFonts w:eastAsia="Times New Roman" w:cs="Times New Roman"/>
          <w:b/>
        </w:rPr>
        <w:footnoteReference w:customMarkFollows="1" w:id="4"/>
        <w:sym w:font="Symbol" w:char="F02A"/>
      </w:r>
      <w:r w:rsidRPr="006B4515">
        <w:rPr>
          <w:rFonts w:eastAsia="Times New Roman" w:cs="Times New Roman"/>
        </w:rPr>
        <w:t>.</w:t>
      </w:r>
    </w:p>
    <w:p w:rsidR="00F64A55" w:rsidRDefault="00F64A55" w:rsidP="00F64A55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 xml:space="preserve">Połączenie kosztów wchodzących w zakres </w:t>
      </w:r>
      <w:r>
        <w:rPr>
          <w:rFonts w:eastAsia="Times New Roman" w:cs="Times New Roman"/>
        </w:rPr>
        <w:t>a</w:t>
      </w:r>
      <w:r w:rsidRPr="006B4515">
        <w:rPr>
          <w:rFonts w:eastAsia="Times New Roman" w:cs="Times New Roman"/>
        </w:rPr>
        <w:t>rt. 14 GBER</w:t>
      </w:r>
      <w:r w:rsidRPr="006B4515" w:rsidDel="00176EB7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ust</w:t>
      </w:r>
      <w:r w:rsidRPr="006B4515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4</w:t>
      </w:r>
      <w:r w:rsidRPr="00176EB7">
        <w:rPr>
          <w:rFonts w:eastAsia="Times New Roman" w:cs="Times New Roman"/>
        </w:rPr>
        <w:t xml:space="preserve"> </w:t>
      </w:r>
      <w:r w:rsidRPr="006B4515">
        <w:rPr>
          <w:rFonts w:eastAsia="Times New Roman" w:cs="Times New Roman"/>
        </w:rPr>
        <w:t>lit. a) i b)</w:t>
      </w:r>
      <w:r w:rsidR="001E1928" w:rsidRPr="00BA0A54">
        <w:rPr>
          <w:rStyle w:val="Odwoanieprzypisudolnego"/>
          <w:rFonts w:eastAsia="Times New Roman" w:cs="Times New Roman"/>
        </w:rPr>
        <w:footnoteReference w:customMarkFollows="1" w:id="5"/>
        <w:sym w:font="Symbol" w:char="F02A"/>
      </w:r>
      <w:r>
        <w:rPr>
          <w:rFonts w:eastAsia="Times New Roman" w:cs="Times New Roman"/>
        </w:rPr>
        <w:t>.</w:t>
      </w:r>
      <w:r w:rsidRPr="00176EB7">
        <w:rPr>
          <w:rFonts w:eastAsia="Times New Roman" w:cs="Times New Roman"/>
        </w:rPr>
        <w:t xml:space="preserve"> </w:t>
      </w:r>
    </w:p>
    <w:p w:rsidR="001D4A2D" w:rsidRDefault="001D4A2D" w:rsidP="001D4A2D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na budowę, przebudowę, odbudowę, rozbudowę, nadbudowę obiektu budowlanego przekraczające 50% całkowitych wydatków kwalifikowalnych projektu</w:t>
      </w:r>
      <w:r w:rsidR="001E1928" w:rsidRPr="00BA0A54">
        <w:rPr>
          <w:rStyle w:val="Odwoanieprzypisudolnego"/>
          <w:rFonts w:eastAsia="Times New Roman" w:cs="Times New Roman"/>
          <w:b/>
        </w:rPr>
        <w:footnoteReference w:customMarkFollows="1" w:id="6"/>
        <w:sym w:font="Symbol" w:char="F02A"/>
      </w:r>
      <w:r w:rsidRPr="006B4515">
        <w:rPr>
          <w:rFonts w:eastAsia="Times New Roman" w:cs="Times New Roman"/>
        </w:rPr>
        <w:t>.</w:t>
      </w:r>
    </w:p>
    <w:p w:rsidR="00954E4C" w:rsidRPr="006B4515" w:rsidRDefault="00954E4C" w:rsidP="001D4A2D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>
        <w:t>Wydatki związane z działaniami informacyjno-promocyjnymi projektu</w:t>
      </w:r>
      <w:r w:rsidR="00972A3D" w:rsidRPr="00972A3D">
        <w:rPr>
          <w:rStyle w:val="Odwoanieprzypisudolnego"/>
        </w:rPr>
        <w:footnoteReference w:customMarkFollows="1" w:id="7"/>
        <w:sym w:font="Symbol" w:char="F02A"/>
      </w:r>
      <w:r w:rsidR="001213D3">
        <w:t>.</w:t>
      </w:r>
    </w:p>
    <w:p w:rsidR="00F64A55" w:rsidRPr="001213D3" w:rsidRDefault="00F64A55" w:rsidP="001213D3">
      <w:pPr>
        <w:spacing w:after="0"/>
        <w:jc w:val="both"/>
        <w:rPr>
          <w:rFonts w:eastAsia="Times New Roman" w:cs="Times New Roman"/>
        </w:rPr>
      </w:pPr>
    </w:p>
    <w:p w:rsidR="00A23F33" w:rsidRPr="006B4515" w:rsidRDefault="00A23F33" w:rsidP="003B2988">
      <w:pPr>
        <w:jc w:val="both"/>
        <w:rPr>
          <w:rFonts w:eastAsia="Times New Roman" w:cs="Times New Roman"/>
          <w:b/>
        </w:rPr>
      </w:pPr>
      <w:r w:rsidRPr="006B4515">
        <w:rPr>
          <w:rFonts w:eastAsia="Times New Roman" w:cs="Times New Roman"/>
          <w:b/>
        </w:rPr>
        <w:t>1.2 C</w:t>
      </w:r>
      <w:r w:rsidR="006B4515" w:rsidRPr="006B4515">
        <w:rPr>
          <w:rFonts w:eastAsia="Times New Roman" w:cs="Times New Roman"/>
          <w:b/>
        </w:rPr>
        <w:t>:</w:t>
      </w:r>
    </w:p>
    <w:p w:rsidR="00A23F33" w:rsidRPr="006B4515" w:rsidRDefault="00A23F33" w:rsidP="003B2988">
      <w:pPr>
        <w:pStyle w:val="Akapitzlist"/>
        <w:numPr>
          <w:ilvl w:val="0"/>
          <w:numId w:val="21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ponoszone przez Beneficjenta projektu grantowego (</w:t>
      </w:r>
      <w:proofErr w:type="spellStart"/>
      <w:r w:rsidRPr="006B4515">
        <w:rPr>
          <w:rFonts w:eastAsia="Times New Roman" w:cs="Times New Roman"/>
        </w:rPr>
        <w:t>Grantodawcę</w:t>
      </w:r>
      <w:proofErr w:type="spellEnd"/>
      <w:r w:rsidRPr="006B4515">
        <w:rPr>
          <w:rFonts w:eastAsia="Times New Roman" w:cs="Times New Roman"/>
        </w:rPr>
        <w:t>) przekraczające 15% całkowitych wydatków kwalifikowalnych projektu grantowego.</w:t>
      </w:r>
    </w:p>
    <w:p w:rsidR="00A23F33" w:rsidRPr="006B4515" w:rsidRDefault="00A23F33" w:rsidP="003B2988">
      <w:pPr>
        <w:pStyle w:val="Akapitzlist"/>
        <w:spacing w:after="0"/>
        <w:jc w:val="both"/>
      </w:pPr>
    </w:p>
    <w:p w:rsidR="00A23F33" w:rsidRPr="006B4515" w:rsidRDefault="00C34307" w:rsidP="003B2988">
      <w:pPr>
        <w:jc w:val="both"/>
        <w:rPr>
          <w:b/>
        </w:rPr>
      </w:pPr>
      <w:r>
        <w:rPr>
          <w:b/>
        </w:rPr>
        <w:t xml:space="preserve">1.2 </w:t>
      </w:r>
      <w:r w:rsidR="00A23F33" w:rsidRPr="006B4515">
        <w:rPr>
          <w:b/>
        </w:rPr>
        <w:t xml:space="preserve">D:  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na budowę, przebudowę, odbudowę, rozbudowę, nadbudowę obiektu budowlanego przekraczające 50% całkowitych wydatków kwalifikowalnych projektu.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na uzyskanie certyfikatów jakości dla instytucji, które zarządzają IOB.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 xml:space="preserve">Wydatki na wynagrodzenia będące efektem tworzenia nowych miejsc pracy. 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Ze wsparcia wyłączone są wydatki na infrastrukturę administracyjną (np. o charakterze biurowym).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t>Wydatki związane z działaniami informacyjno-promocyjnymi projektu.</w:t>
      </w:r>
    </w:p>
    <w:p w:rsidR="00A23F33" w:rsidRPr="006B4515" w:rsidRDefault="00A23F33" w:rsidP="003B2988">
      <w:pPr>
        <w:pStyle w:val="Akapitzlist"/>
        <w:spacing w:after="0"/>
        <w:jc w:val="both"/>
      </w:pPr>
    </w:p>
    <w:p w:rsidR="00A23F33" w:rsidRPr="006B4515" w:rsidRDefault="00A23F33" w:rsidP="003B2988">
      <w:pPr>
        <w:jc w:val="both"/>
        <w:rPr>
          <w:b/>
        </w:rPr>
      </w:pPr>
      <w:r w:rsidRPr="006B4515">
        <w:rPr>
          <w:b/>
        </w:rPr>
        <w:t>1.3 Rozwój przedsiębiorczości</w:t>
      </w:r>
      <w:r w:rsidR="006B4515" w:rsidRPr="006B4515">
        <w:rPr>
          <w:b/>
        </w:rPr>
        <w:t>:</w:t>
      </w:r>
    </w:p>
    <w:p w:rsidR="00A23F33" w:rsidRPr="006B4515" w:rsidRDefault="00A23F33" w:rsidP="003B2988">
      <w:pPr>
        <w:jc w:val="both"/>
        <w:rPr>
          <w:b/>
        </w:rPr>
      </w:pPr>
      <w:r w:rsidRPr="006B4515">
        <w:rPr>
          <w:b/>
        </w:rPr>
        <w:t>1.3</w:t>
      </w:r>
      <w:r w:rsidR="00C34307">
        <w:rPr>
          <w:b/>
        </w:rPr>
        <w:t xml:space="preserve"> </w:t>
      </w:r>
      <w:r w:rsidRPr="006B4515">
        <w:rPr>
          <w:b/>
        </w:rPr>
        <w:t>A: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na wewnętrzną infrastrukturę komunikacyjną przewyższające 49% wartości projektu.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na zewnętrzną infrastrukturę komunikacyjną (drogi dojazdowe do terenów inwestycyjnych będących przedmiotem projektu).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na zakup używanych środków trwałych innych niż budynki.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 xml:space="preserve">Wydatki na wynagrodzenia będące efektem tworzenia nowych miejsc pracy. 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rPr>
          <w:rFonts w:cs="Arial"/>
        </w:rPr>
        <w:t>Wydatki na zakup środków transportu i urządzeń transportowych.</w:t>
      </w:r>
    </w:p>
    <w:p w:rsidR="00A23F33" w:rsidRPr="006B4515" w:rsidRDefault="00A23F33" w:rsidP="003B2988">
      <w:pPr>
        <w:pStyle w:val="Akapitzlist"/>
        <w:spacing w:after="0"/>
        <w:jc w:val="both"/>
      </w:pPr>
    </w:p>
    <w:p w:rsidR="00A23F33" w:rsidRPr="006B4515" w:rsidRDefault="00A23F33" w:rsidP="003B2988">
      <w:pPr>
        <w:jc w:val="both"/>
        <w:rPr>
          <w:b/>
        </w:rPr>
      </w:pPr>
      <w:r w:rsidRPr="006B4515">
        <w:rPr>
          <w:b/>
        </w:rPr>
        <w:t>1.3</w:t>
      </w:r>
      <w:r w:rsidR="00C34307">
        <w:rPr>
          <w:b/>
        </w:rPr>
        <w:t xml:space="preserve"> </w:t>
      </w:r>
      <w:r w:rsidRPr="006B4515">
        <w:rPr>
          <w:b/>
        </w:rPr>
        <w:t xml:space="preserve">B: 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na zakup używanych środków trwałych innych niż budynki.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 xml:space="preserve">Wydatki na uzyskanie certyfikatów jakości dla instytucji, które zarządzają </w:t>
      </w:r>
      <w:r w:rsidRPr="006B4515">
        <w:rPr>
          <w:rFonts w:cs="Arial"/>
        </w:rPr>
        <w:t>infrastrukturą dla przedsiębiorstw.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 xml:space="preserve">Wydatki na wynagrodzenia będące efektem tworzenia nowych miejsc pracy. 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cs="Arial"/>
        </w:rPr>
      </w:pPr>
      <w:r w:rsidRPr="006B4515">
        <w:rPr>
          <w:rFonts w:cs="Arial"/>
        </w:rPr>
        <w:t xml:space="preserve">Wydatki na zakup środków transportu i urządzeń transportowych. </w:t>
      </w:r>
    </w:p>
    <w:p w:rsidR="00A23F33" w:rsidRPr="006B4515" w:rsidRDefault="00A23F33" w:rsidP="003B2988">
      <w:pPr>
        <w:pStyle w:val="Akapitzlist"/>
        <w:spacing w:after="0"/>
        <w:jc w:val="both"/>
      </w:pPr>
    </w:p>
    <w:p w:rsidR="00A23F33" w:rsidRPr="006B4515" w:rsidRDefault="00A23F33" w:rsidP="003B2988">
      <w:pPr>
        <w:jc w:val="both"/>
        <w:rPr>
          <w:b/>
        </w:rPr>
      </w:pPr>
      <w:r w:rsidRPr="006B4515">
        <w:rPr>
          <w:b/>
        </w:rPr>
        <w:t>1.3</w:t>
      </w:r>
      <w:r w:rsidR="00C34307">
        <w:rPr>
          <w:b/>
        </w:rPr>
        <w:t xml:space="preserve"> </w:t>
      </w:r>
      <w:r w:rsidRPr="006B4515">
        <w:rPr>
          <w:b/>
        </w:rPr>
        <w:t>C: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na uzyskanie przez IOB certyfikatów potwierdzających standard świadczonych usług doradczych.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 xml:space="preserve">Wydatki na wynagrodzenia będące efektem tworzenia nowych miejsc pracy. 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ponoszone przez Beneficjenta projektu grantowego (</w:t>
      </w:r>
      <w:proofErr w:type="spellStart"/>
      <w:r w:rsidRPr="006B4515">
        <w:rPr>
          <w:rFonts w:eastAsia="Times New Roman" w:cs="Times New Roman"/>
        </w:rPr>
        <w:t>Grantodawcę</w:t>
      </w:r>
      <w:proofErr w:type="spellEnd"/>
      <w:r w:rsidRPr="006B4515">
        <w:rPr>
          <w:rFonts w:eastAsia="Times New Roman" w:cs="Times New Roman"/>
        </w:rPr>
        <w:t>) przekraczające 15% całkowitych wydatków kwalifikowalnych projektu grantowego.</w:t>
      </w:r>
    </w:p>
    <w:p w:rsidR="00A23F33" w:rsidRPr="006B4515" w:rsidRDefault="00A23F33" w:rsidP="003B2988">
      <w:pPr>
        <w:pStyle w:val="Akapitzlist"/>
        <w:spacing w:after="0"/>
        <w:jc w:val="both"/>
        <w:rPr>
          <w:rFonts w:eastAsia="Times New Roman" w:cs="Times New Roman"/>
        </w:rPr>
      </w:pPr>
    </w:p>
    <w:p w:rsidR="00A23F33" w:rsidRPr="006B4515" w:rsidRDefault="00A23F33" w:rsidP="003B2988">
      <w:pPr>
        <w:pStyle w:val="Akapitzlist"/>
        <w:spacing w:after="0"/>
        <w:jc w:val="both"/>
      </w:pPr>
    </w:p>
    <w:p w:rsidR="00A23F33" w:rsidRPr="006B4515" w:rsidRDefault="00A23F33" w:rsidP="003B2988">
      <w:pPr>
        <w:jc w:val="both"/>
        <w:rPr>
          <w:rFonts w:eastAsiaTheme="majorEastAsia" w:cstheme="majorBidi"/>
          <w:b/>
          <w:bCs/>
        </w:rPr>
      </w:pPr>
      <w:r w:rsidRPr="006B4515">
        <w:rPr>
          <w:b/>
        </w:rPr>
        <w:t>1.4</w:t>
      </w:r>
      <w:bookmarkStart w:id="2" w:name="_Toc194291240"/>
      <w:bookmarkStart w:id="3" w:name="_Toc209405135"/>
      <w:r w:rsidRPr="006B4515">
        <w:rPr>
          <w:b/>
        </w:rPr>
        <w:t xml:space="preserve"> </w:t>
      </w:r>
      <w:bookmarkEnd w:id="2"/>
      <w:bookmarkEnd w:id="3"/>
      <w:r w:rsidRPr="006B4515">
        <w:rPr>
          <w:rFonts w:eastAsiaTheme="majorEastAsia" w:cstheme="majorBidi"/>
          <w:b/>
          <w:bCs/>
        </w:rPr>
        <w:t>Internacjonalizacja przedsiębiorstw</w:t>
      </w:r>
      <w:r w:rsidR="006B4515" w:rsidRPr="006B4515">
        <w:rPr>
          <w:rFonts w:eastAsiaTheme="majorEastAsia" w:cstheme="majorBidi"/>
          <w:b/>
          <w:bCs/>
        </w:rPr>
        <w:t>:</w:t>
      </w:r>
    </w:p>
    <w:p w:rsidR="00A23F33" w:rsidRPr="006B4515" w:rsidRDefault="00A23F33" w:rsidP="003B2988">
      <w:pPr>
        <w:spacing w:before="40" w:after="40"/>
        <w:ind w:left="33"/>
        <w:jc w:val="both"/>
      </w:pPr>
      <w:r w:rsidRPr="006B4515">
        <w:rPr>
          <w:b/>
        </w:rPr>
        <w:t>1.4</w:t>
      </w:r>
      <w:r w:rsidR="00C34307">
        <w:rPr>
          <w:b/>
        </w:rPr>
        <w:t xml:space="preserve"> </w:t>
      </w:r>
      <w:r w:rsidRPr="006B4515">
        <w:rPr>
          <w:b/>
        </w:rPr>
        <w:t>A:</w:t>
      </w:r>
      <w:r w:rsidRPr="006B4515">
        <w:t xml:space="preserve"> </w:t>
      </w:r>
    </w:p>
    <w:p w:rsidR="00A23F33" w:rsidRPr="006B4515" w:rsidRDefault="00A23F33" w:rsidP="003B2988">
      <w:pPr>
        <w:pStyle w:val="Akapitzlist"/>
        <w:numPr>
          <w:ilvl w:val="0"/>
          <w:numId w:val="30"/>
        </w:numPr>
        <w:spacing w:before="40" w:after="40"/>
        <w:jc w:val="both"/>
        <w:rPr>
          <w:rFonts w:eastAsiaTheme="majorEastAsia" w:cstheme="majorBidi"/>
          <w:bCs/>
        </w:rPr>
      </w:pPr>
      <w:r w:rsidRPr="006B4515">
        <w:rPr>
          <w:rFonts w:eastAsiaTheme="majorEastAsia" w:cstheme="majorBidi"/>
          <w:bCs/>
        </w:rPr>
        <w:t>Wydatki związane z działaniami informacyjno-promocyjnymi projektu.</w:t>
      </w:r>
    </w:p>
    <w:p w:rsidR="00A23F33" w:rsidRPr="006B4515" w:rsidRDefault="00A23F33" w:rsidP="003B2988">
      <w:pPr>
        <w:pStyle w:val="Akapitzlist"/>
        <w:spacing w:after="0"/>
        <w:jc w:val="both"/>
        <w:rPr>
          <w:b/>
        </w:rPr>
      </w:pPr>
    </w:p>
    <w:p w:rsidR="00A23F33" w:rsidRPr="006B4515" w:rsidRDefault="00A23F33" w:rsidP="003B2988">
      <w:pPr>
        <w:spacing w:before="40" w:after="40"/>
        <w:ind w:left="33"/>
        <w:jc w:val="both"/>
      </w:pPr>
      <w:r w:rsidRPr="006B4515">
        <w:rPr>
          <w:b/>
        </w:rPr>
        <w:t>1.4</w:t>
      </w:r>
      <w:r w:rsidR="00C34307">
        <w:rPr>
          <w:b/>
        </w:rPr>
        <w:t xml:space="preserve"> </w:t>
      </w:r>
      <w:r w:rsidRPr="006B4515">
        <w:rPr>
          <w:b/>
        </w:rPr>
        <w:t>B</w:t>
      </w:r>
      <w:r w:rsidR="00C34307">
        <w:rPr>
          <w:b/>
        </w:rPr>
        <w:t xml:space="preserve"> </w:t>
      </w:r>
      <w:r w:rsidRPr="006B4515">
        <w:rPr>
          <w:b/>
        </w:rPr>
        <w:t>ab:</w:t>
      </w:r>
      <w:r w:rsidRPr="006B4515">
        <w:t xml:space="preserve"> </w:t>
      </w:r>
    </w:p>
    <w:p w:rsidR="00A23F33" w:rsidRPr="006B4515" w:rsidRDefault="00A23F33" w:rsidP="003B2988">
      <w:pPr>
        <w:pStyle w:val="Akapitzlist"/>
        <w:numPr>
          <w:ilvl w:val="0"/>
          <w:numId w:val="24"/>
        </w:numPr>
        <w:jc w:val="both"/>
        <w:rPr>
          <w:rFonts w:eastAsiaTheme="majorEastAsia" w:cstheme="majorBidi"/>
          <w:b/>
          <w:bCs/>
        </w:rPr>
      </w:pPr>
      <w:r w:rsidRPr="006B4515">
        <w:rPr>
          <w:rFonts w:eastAsiaTheme="majorEastAsia" w:cstheme="majorBidi"/>
          <w:bCs/>
        </w:rPr>
        <w:t>Wydatki na usługi będące w zakresie działania 1.4</w:t>
      </w:r>
      <w:r w:rsidR="00C34307">
        <w:rPr>
          <w:rFonts w:eastAsiaTheme="majorEastAsia" w:cstheme="majorBidi"/>
          <w:bCs/>
        </w:rPr>
        <w:t xml:space="preserve"> </w:t>
      </w:r>
      <w:r w:rsidRPr="006B4515">
        <w:rPr>
          <w:rFonts w:eastAsiaTheme="majorEastAsia" w:cstheme="majorBidi"/>
          <w:bCs/>
        </w:rPr>
        <w:t xml:space="preserve">A </w:t>
      </w:r>
      <w:proofErr w:type="spellStart"/>
      <w:r w:rsidRPr="006B4515">
        <w:rPr>
          <w:rFonts w:eastAsiaTheme="majorEastAsia" w:cstheme="majorBidi"/>
          <w:bCs/>
        </w:rPr>
        <w:t>a</w:t>
      </w:r>
      <w:proofErr w:type="spellEnd"/>
      <w:r w:rsidRPr="006B4515">
        <w:rPr>
          <w:rFonts w:eastAsiaTheme="majorEastAsia" w:cstheme="majorBidi"/>
          <w:bCs/>
        </w:rPr>
        <w:t xml:space="preserve">. </w:t>
      </w:r>
    </w:p>
    <w:p w:rsidR="00A23F33" w:rsidRPr="006B4515" w:rsidRDefault="00A23F33" w:rsidP="003B2988">
      <w:pPr>
        <w:pStyle w:val="Akapitzlist"/>
        <w:numPr>
          <w:ilvl w:val="0"/>
          <w:numId w:val="24"/>
        </w:numPr>
        <w:jc w:val="both"/>
        <w:rPr>
          <w:rFonts w:eastAsiaTheme="majorEastAsia" w:cstheme="majorBidi"/>
          <w:bCs/>
        </w:rPr>
      </w:pPr>
      <w:r w:rsidRPr="006B4515">
        <w:rPr>
          <w:rFonts w:eastAsiaTheme="majorEastAsia" w:cstheme="majorBidi"/>
          <w:bCs/>
        </w:rPr>
        <w:t>Wydatki na roboty budowlane, materiały budowlane, niezbędne do budowy, przebudowy i</w:t>
      </w:r>
      <w:r w:rsidR="003B2988">
        <w:rPr>
          <w:rFonts w:eastAsiaTheme="majorEastAsia" w:cstheme="majorBidi"/>
          <w:bCs/>
        </w:rPr>
        <w:t> </w:t>
      </w:r>
      <w:r w:rsidRPr="006B4515">
        <w:rPr>
          <w:rFonts w:eastAsiaTheme="majorEastAsia" w:cstheme="majorBidi"/>
          <w:bCs/>
        </w:rPr>
        <w:t>rozbudowy budynków, zakup budynków i budowli oraz gruntów, a także nieruchomości zabudowanej.</w:t>
      </w:r>
    </w:p>
    <w:p w:rsidR="00A23F33" w:rsidRPr="006B4515" w:rsidRDefault="00A23F33" w:rsidP="003B2988">
      <w:pPr>
        <w:pStyle w:val="Akapitzlist"/>
        <w:numPr>
          <w:ilvl w:val="0"/>
          <w:numId w:val="24"/>
        </w:numPr>
        <w:jc w:val="both"/>
        <w:rPr>
          <w:rFonts w:eastAsiaTheme="majorEastAsia" w:cstheme="majorBidi"/>
          <w:bCs/>
        </w:rPr>
      </w:pPr>
      <w:r w:rsidRPr="006B4515">
        <w:rPr>
          <w:rFonts w:eastAsiaTheme="majorEastAsia" w:cstheme="majorBidi"/>
          <w:bCs/>
        </w:rPr>
        <w:t xml:space="preserve">W przypadku wyjazdów biznesowych wydatkami niekwalifikowalnymi są wydatki analogiczne jak w działaniu 1.4 </w:t>
      </w:r>
      <w:r w:rsidR="00F64A55">
        <w:rPr>
          <w:rFonts w:eastAsiaTheme="majorEastAsia" w:cstheme="majorBidi"/>
          <w:bCs/>
        </w:rPr>
        <w:t>B c</w:t>
      </w:r>
      <w:r w:rsidRPr="006B4515">
        <w:rPr>
          <w:rFonts w:eastAsiaTheme="majorEastAsia" w:cstheme="majorBidi"/>
          <w:bCs/>
        </w:rPr>
        <w:t>.</w:t>
      </w:r>
    </w:p>
    <w:p w:rsidR="00A23F33" w:rsidRPr="006B4515" w:rsidRDefault="00A23F33" w:rsidP="003B2988">
      <w:pPr>
        <w:pStyle w:val="Akapitzlist"/>
        <w:numPr>
          <w:ilvl w:val="0"/>
          <w:numId w:val="24"/>
        </w:numPr>
        <w:jc w:val="both"/>
        <w:rPr>
          <w:rFonts w:eastAsiaTheme="majorEastAsia" w:cstheme="majorBidi"/>
          <w:bCs/>
        </w:rPr>
      </w:pPr>
      <w:r w:rsidRPr="006B4515">
        <w:rPr>
          <w:rFonts w:eastAsia="Times New Roman" w:cs="Times New Roman"/>
        </w:rPr>
        <w:t>Wydatki na wynagrodzenia będące efektem tworzenia nowych miejsc pracy.</w:t>
      </w:r>
    </w:p>
    <w:p w:rsidR="00A23F33" w:rsidRPr="006B4515" w:rsidRDefault="00A23F33" w:rsidP="003B2988">
      <w:pPr>
        <w:pStyle w:val="Akapitzlist"/>
        <w:numPr>
          <w:ilvl w:val="0"/>
          <w:numId w:val="24"/>
        </w:numPr>
        <w:jc w:val="both"/>
        <w:rPr>
          <w:rFonts w:eastAsiaTheme="majorEastAsia" w:cstheme="majorBidi"/>
          <w:bCs/>
        </w:rPr>
      </w:pPr>
      <w:r w:rsidRPr="006B4515">
        <w:t>Wydatki związane z działaniami informacyjno-promocyjnymi projektu.</w:t>
      </w:r>
    </w:p>
    <w:p w:rsidR="00A23F33" w:rsidRPr="006B4515" w:rsidRDefault="00A23F33" w:rsidP="003B2988">
      <w:pPr>
        <w:pStyle w:val="Akapitzlist"/>
        <w:spacing w:after="0"/>
        <w:jc w:val="both"/>
        <w:rPr>
          <w:rFonts w:eastAsiaTheme="majorEastAsia" w:cstheme="majorBidi"/>
          <w:b/>
          <w:bCs/>
        </w:rPr>
      </w:pPr>
    </w:p>
    <w:p w:rsidR="00A23F33" w:rsidRPr="006B4515" w:rsidRDefault="00A23F33" w:rsidP="003B2988">
      <w:pPr>
        <w:spacing w:before="40" w:after="40"/>
        <w:ind w:left="33"/>
        <w:jc w:val="both"/>
        <w:rPr>
          <w:b/>
        </w:rPr>
      </w:pPr>
      <w:r w:rsidRPr="006B4515">
        <w:rPr>
          <w:b/>
        </w:rPr>
        <w:t>1.4</w:t>
      </w:r>
      <w:r w:rsidR="00C34307">
        <w:rPr>
          <w:b/>
        </w:rPr>
        <w:t xml:space="preserve"> </w:t>
      </w:r>
      <w:r w:rsidRPr="006B4515">
        <w:rPr>
          <w:b/>
        </w:rPr>
        <w:t>B</w:t>
      </w:r>
      <w:r w:rsidR="00C34307">
        <w:rPr>
          <w:b/>
        </w:rPr>
        <w:t xml:space="preserve"> </w:t>
      </w:r>
      <w:r w:rsidRPr="006B4515">
        <w:rPr>
          <w:b/>
        </w:rPr>
        <w:t xml:space="preserve">c: 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jc w:val="both"/>
        <w:rPr>
          <w:rFonts w:eastAsiaTheme="majorEastAsia" w:cstheme="majorBidi"/>
          <w:b/>
          <w:bCs/>
        </w:rPr>
      </w:pPr>
      <w:r w:rsidRPr="006B4515">
        <w:rPr>
          <w:rFonts w:eastAsiaTheme="majorEastAsia" w:cstheme="majorBidi"/>
          <w:bCs/>
        </w:rPr>
        <w:t>Wydatki na usługi będące w zakresie działania 1.4</w:t>
      </w:r>
      <w:r w:rsidR="00C34307">
        <w:rPr>
          <w:rFonts w:eastAsiaTheme="majorEastAsia" w:cstheme="majorBidi"/>
          <w:bCs/>
        </w:rPr>
        <w:t xml:space="preserve"> </w:t>
      </w:r>
      <w:r w:rsidRPr="006B4515">
        <w:rPr>
          <w:rFonts w:eastAsiaTheme="majorEastAsia" w:cstheme="majorBidi"/>
          <w:bCs/>
        </w:rPr>
        <w:t>A b.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 xml:space="preserve">Podróże służbowe przedstawicieli </w:t>
      </w:r>
      <w:r w:rsidR="00261786">
        <w:rPr>
          <w:rFonts w:eastAsia="Times New Roman" w:cs="Times New Roman"/>
        </w:rPr>
        <w:t>B</w:t>
      </w:r>
      <w:r w:rsidRPr="006B4515">
        <w:rPr>
          <w:rFonts w:eastAsia="Times New Roman" w:cs="Times New Roman"/>
        </w:rPr>
        <w:t xml:space="preserve">eneficjenta uczestniczących w imprezach wystawienniczych i targowych (transport, diety), powyżej 5 osób. 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 xml:space="preserve">Koszty podróży inne niż ryczałtowe określone w odpowiednich przepisach prawa oraz inne niż bilety. 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Dotacje na udział w targach/wystawach/misjach dla przedsiębiorców mających siedzibę lub prowadzących działalność gospodarczą poza granicami administracyjnymi województwa dolnośląskiego.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na udział w misji więcej niż 5 przedstawicieli jednego przedsiębiorcy oraz dwóch przedstawicieli Organizatora.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na przejazd, zakwaterowanie i diety przedstawicieli Organizatora misji (</w:t>
      </w:r>
      <w:r w:rsidR="0040430E">
        <w:rPr>
          <w:rFonts w:eastAsia="Times New Roman" w:cs="Times New Roman"/>
        </w:rPr>
        <w:t>B</w:t>
      </w:r>
      <w:r w:rsidRPr="006B4515">
        <w:rPr>
          <w:rFonts w:eastAsia="Times New Roman" w:cs="Times New Roman"/>
        </w:rPr>
        <w:t>eneficjenta) wcześniej niż 2 dni przed i później niż 1 dzień po misji gospodarczej.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 xml:space="preserve">Zakwaterowanie przedstawicieli </w:t>
      </w:r>
      <w:r w:rsidR="00981291">
        <w:rPr>
          <w:rFonts w:eastAsia="Times New Roman" w:cs="Times New Roman"/>
        </w:rPr>
        <w:t>B</w:t>
      </w:r>
      <w:r w:rsidRPr="006B4515">
        <w:rPr>
          <w:rFonts w:eastAsia="Times New Roman" w:cs="Times New Roman"/>
        </w:rPr>
        <w:t>eneficjenta wcześniej niż 1 dzień przed i później niż 1 dzień po targach, wystawach oraz powyżej 5 osób.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na udział w targach/misjach/wystawach poniesione przed złożeniem wniosku o dofinansowanie z wyłączeniem wydatków związanych z wpłatą zaliczki na udział w wydarzeniach gospodarczych (w szczególności rezerwacja powierzchni wystawienniczej, rezerwacja noclegu dla przedstawicieli Beneficjenta).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t>Wydatki związane z działaniami informacyjno-promocyjnymi projektu.</w:t>
      </w:r>
    </w:p>
    <w:p w:rsidR="00A23F33" w:rsidRPr="006B4515" w:rsidRDefault="00A23F33" w:rsidP="003B2988">
      <w:pPr>
        <w:pStyle w:val="Akapitzlist"/>
        <w:spacing w:after="0"/>
        <w:jc w:val="both"/>
      </w:pPr>
    </w:p>
    <w:p w:rsidR="00A23F33" w:rsidRPr="006B4515" w:rsidRDefault="00A23F33" w:rsidP="003B2988">
      <w:pPr>
        <w:jc w:val="both"/>
        <w:rPr>
          <w:b/>
        </w:rPr>
      </w:pPr>
      <w:r w:rsidRPr="006B4515">
        <w:rPr>
          <w:b/>
        </w:rPr>
        <w:t xml:space="preserve">1.5 </w:t>
      </w:r>
      <w:r w:rsidRPr="006B4515">
        <w:rPr>
          <w:rFonts w:eastAsiaTheme="majorEastAsia" w:cstheme="majorBidi"/>
          <w:b/>
          <w:bCs/>
        </w:rPr>
        <w:t>Rozwój produktów i usług w MŚP</w:t>
      </w:r>
      <w:r w:rsidR="006B4515" w:rsidRPr="006B4515">
        <w:rPr>
          <w:rFonts w:eastAsiaTheme="majorEastAsia" w:cstheme="majorBidi"/>
          <w:b/>
          <w:bCs/>
        </w:rPr>
        <w:t>:</w:t>
      </w:r>
    </w:p>
    <w:p w:rsidR="00A23F33" w:rsidRPr="006B4515" w:rsidRDefault="00A23F33" w:rsidP="003B2988">
      <w:pPr>
        <w:jc w:val="both"/>
      </w:pPr>
      <w:r w:rsidRPr="006B4515">
        <w:t>Wsparcie dotacyjne: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 xml:space="preserve">Wydatki związane z bieżącymi naprawami maszyn/parku maszynowego. 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 xml:space="preserve">Budowa/przebudowa/rozbudowa/modernizacja nieruchomości zabudowanej powyżej 25% całkowitych wydatków kwalifikowalnych projektu. 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przeznaczone na oprogramowanie dedykowane.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 xml:space="preserve">Wydatki poniesione na budowę, przebudowę, rozbudowę, modernizację lub nabycie nieruchomości w celu prowadzenia działalności związanej z wynajmem </w:t>
      </w:r>
      <w:r w:rsidRPr="006B4515">
        <w:t xml:space="preserve"> </w:t>
      </w:r>
      <w:r w:rsidRPr="006B4515">
        <w:rPr>
          <w:rFonts w:eastAsia="Times New Roman" w:cs="Times New Roman"/>
        </w:rPr>
        <w:t xml:space="preserve">(nie dotyczy usług hotelarskich w rozumieniu art. 36 ustawy o usługach turystycznych). 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Wkład niepieniężny stanowiący część wkładu własnego przekraczający 10% całkowitych wydatków kwalifikowalnych.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spacing w:after="0"/>
        <w:ind w:left="714" w:hanging="357"/>
        <w:jc w:val="both"/>
        <w:rPr>
          <w:rFonts w:eastAsia="Times New Roman" w:cs="Times New Roman"/>
        </w:rPr>
      </w:pPr>
      <w:r w:rsidRPr="006B4515">
        <w:t>Wydatki związane z działaniami informacyjno-promocyjnymi projektu.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Szacunkowe koszty płacy wynikające z utworzenia miejsc pracy w następstwie inwestycji początkowej.</w:t>
      </w:r>
    </w:p>
    <w:p w:rsidR="00A23F33" w:rsidRPr="006B4515" w:rsidRDefault="00A23F33" w:rsidP="003B2988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 xml:space="preserve">Połączenie kosztów wchodzących w zakres </w:t>
      </w:r>
      <w:r w:rsidR="00176EB7">
        <w:rPr>
          <w:rFonts w:eastAsia="Times New Roman" w:cs="Times New Roman"/>
        </w:rPr>
        <w:t>a</w:t>
      </w:r>
      <w:r w:rsidR="00176EB7" w:rsidRPr="006B4515">
        <w:rPr>
          <w:rFonts w:eastAsia="Times New Roman" w:cs="Times New Roman"/>
        </w:rPr>
        <w:t xml:space="preserve">rt. 14 </w:t>
      </w:r>
      <w:r w:rsidR="00405F6A" w:rsidRPr="006B4515">
        <w:rPr>
          <w:rFonts w:eastAsia="Times New Roman" w:cs="Times New Roman"/>
        </w:rPr>
        <w:t>GBER</w:t>
      </w:r>
      <w:r w:rsidR="00405F6A" w:rsidRPr="006B4515" w:rsidDel="00176EB7">
        <w:rPr>
          <w:rFonts w:eastAsia="Times New Roman" w:cs="Times New Roman"/>
        </w:rPr>
        <w:t xml:space="preserve"> </w:t>
      </w:r>
      <w:r w:rsidR="006D7B9D">
        <w:rPr>
          <w:rFonts w:eastAsia="Times New Roman" w:cs="Times New Roman"/>
        </w:rPr>
        <w:t>ust</w:t>
      </w:r>
      <w:r w:rsidRPr="006B4515">
        <w:rPr>
          <w:rFonts w:eastAsia="Times New Roman" w:cs="Times New Roman"/>
        </w:rPr>
        <w:t>.</w:t>
      </w:r>
      <w:r w:rsidR="006D7B9D">
        <w:rPr>
          <w:rFonts w:eastAsia="Times New Roman" w:cs="Times New Roman"/>
        </w:rPr>
        <w:t xml:space="preserve"> 4</w:t>
      </w:r>
      <w:r w:rsidR="00176EB7" w:rsidRPr="00176EB7">
        <w:rPr>
          <w:rFonts w:eastAsia="Times New Roman" w:cs="Times New Roman"/>
        </w:rPr>
        <w:t xml:space="preserve"> </w:t>
      </w:r>
      <w:r w:rsidR="00176EB7" w:rsidRPr="006B4515">
        <w:rPr>
          <w:rFonts w:eastAsia="Times New Roman" w:cs="Times New Roman"/>
        </w:rPr>
        <w:t>lit. a) i b)</w:t>
      </w:r>
      <w:r w:rsidR="00C34307">
        <w:rPr>
          <w:rFonts w:eastAsia="Times New Roman" w:cs="Times New Roman"/>
        </w:rPr>
        <w:t>.</w:t>
      </w:r>
      <w:r w:rsidR="00176EB7" w:rsidRPr="00176EB7">
        <w:rPr>
          <w:rFonts w:eastAsia="Times New Roman" w:cs="Times New Roman"/>
        </w:rPr>
        <w:t xml:space="preserve"> </w:t>
      </w:r>
    </w:p>
    <w:p w:rsidR="00A23F33" w:rsidRPr="006B4515" w:rsidRDefault="00A23F33" w:rsidP="003B2988">
      <w:pPr>
        <w:jc w:val="both"/>
        <w:rPr>
          <w:rFonts w:eastAsia="Calibri"/>
          <w:b/>
        </w:rPr>
      </w:pPr>
      <w:r w:rsidRPr="006B4515">
        <w:rPr>
          <w:rFonts w:eastAsia="Calibri"/>
          <w:b/>
        </w:rPr>
        <w:t xml:space="preserve">2.1 Technologie informacyjno-komunikacyjne: </w:t>
      </w:r>
    </w:p>
    <w:p w:rsidR="00A23F33" w:rsidRPr="006B4515" w:rsidRDefault="00A23F33" w:rsidP="003B2988">
      <w:pPr>
        <w:pStyle w:val="Akapitzlist"/>
        <w:numPr>
          <w:ilvl w:val="0"/>
          <w:numId w:val="23"/>
        </w:numPr>
        <w:jc w:val="both"/>
        <w:rPr>
          <w:rFonts w:eastAsia="Calibri"/>
        </w:rPr>
      </w:pPr>
      <w:r w:rsidRPr="006B4515">
        <w:rPr>
          <w:rFonts w:eastAsia="Calibri"/>
        </w:rPr>
        <w:t>Wydatki na utrzymanie dotychczasowej infrastruktury i wydatki bieżące: np. koszt dzierżawy łącz.</w:t>
      </w:r>
    </w:p>
    <w:p w:rsidR="00A23F33" w:rsidRPr="006B4515" w:rsidRDefault="00A23F33" w:rsidP="003B2988">
      <w:pPr>
        <w:pStyle w:val="Akapitzlist"/>
        <w:numPr>
          <w:ilvl w:val="0"/>
          <w:numId w:val="23"/>
        </w:numPr>
        <w:jc w:val="both"/>
        <w:rPr>
          <w:rFonts w:eastAsia="Calibri"/>
        </w:rPr>
      </w:pPr>
      <w:r w:rsidRPr="006B4515">
        <w:rPr>
          <w:rFonts w:eastAsia="Calibri"/>
        </w:rPr>
        <w:t>Wydatki na usługi związane z np. prowadzeniem serwisu www, kont poczty elektronicznej, utrzymaniem/hostingiem/</w:t>
      </w:r>
      <w:proofErr w:type="spellStart"/>
      <w:r w:rsidRPr="006B4515">
        <w:rPr>
          <w:rFonts w:eastAsia="Calibri"/>
        </w:rPr>
        <w:t>hotelingiem</w:t>
      </w:r>
      <w:proofErr w:type="spellEnd"/>
      <w:r w:rsidRPr="006B4515">
        <w:rPr>
          <w:rFonts w:eastAsia="Calibri"/>
        </w:rPr>
        <w:t xml:space="preserve"> serwerów, rejestracją i utrzymaniem domen – powyżej 5% kosztów kwalifikowalnych projektów</w:t>
      </w:r>
      <w:r w:rsidR="009261C8">
        <w:rPr>
          <w:rFonts w:eastAsia="Calibri"/>
        </w:rPr>
        <w:t xml:space="preserve"> (nie dotyczy wydatków związanych </w:t>
      </w:r>
      <w:r w:rsidR="009261C8">
        <w:rPr>
          <w:rFonts w:eastAsia="Calibri"/>
        </w:rPr>
        <w:br/>
        <w:t>z modelem chmury obliczeniowej)</w:t>
      </w:r>
      <w:r w:rsidRPr="006B4515">
        <w:rPr>
          <w:rFonts w:eastAsia="Calibri"/>
        </w:rPr>
        <w:t>.</w:t>
      </w:r>
    </w:p>
    <w:p w:rsidR="00A23F33" w:rsidRPr="006B4515" w:rsidRDefault="00A23F33" w:rsidP="003B2988">
      <w:pPr>
        <w:pStyle w:val="Akapitzlist"/>
        <w:numPr>
          <w:ilvl w:val="0"/>
          <w:numId w:val="15"/>
        </w:numPr>
        <w:jc w:val="both"/>
        <w:rPr>
          <w:rFonts w:eastAsia="Calibri" w:cs="Times New Roman"/>
        </w:rPr>
      </w:pPr>
      <w:r w:rsidRPr="006B4515">
        <w:rPr>
          <w:rFonts w:eastAsia="Calibri" w:cs="Times New Roman"/>
        </w:rPr>
        <w:t>Koszty adaptacji pomieszczeń dla celów realizacji projektów powyżej 20% łącznych kosztów wynajmu lub utrzymania budynków</w:t>
      </w:r>
      <w:r w:rsidR="009261C8">
        <w:rPr>
          <w:rFonts w:eastAsia="Calibri" w:cs="Times New Roman"/>
        </w:rPr>
        <w:t xml:space="preserve"> (</w:t>
      </w:r>
      <w:r w:rsidR="009261C8">
        <w:rPr>
          <w:rFonts w:ascii="Calibri" w:eastAsia="Calibri" w:hAnsi="Calibri" w:cs="Times New Roman"/>
          <w:lang w:eastAsia="en-US"/>
        </w:rPr>
        <w:t>k</w:t>
      </w:r>
      <w:r w:rsidR="009261C8" w:rsidRPr="009261C8">
        <w:rPr>
          <w:rFonts w:ascii="Calibri" w:eastAsia="Calibri" w:hAnsi="Calibri" w:cs="Times New Roman"/>
          <w:lang w:eastAsia="en-US"/>
        </w:rPr>
        <w:t>oszty utrzymania budynku stanowią łącznie wszystkie opłaty (koszty) ponoszone w celu utrzymania danego budynku. Metodologia wyliczenia przedmiotowych kosztów powinna odnosić się do kosztów w skali jednego roku</w:t>
      </w:r>
      <w:r w:rsidR="009261C8">
        <w:rPr>
          <w:rFonts w:ascii="Calibri" w:eastAsia="Calibri" w:hAnsi="Calibri" w:cs="Times New Roman"/>
          <w:lang w:eastAsia="en-US"/>
        </w:rPr>
        <w:t>)</w:t>
      </w:r>
      <w:r w:rsidRPr="006B4515">
        <w:rPr>
          <w:rFonts w:eastAsia="Calibri" w:cs="Times New Roman"/>
        </w:rPr>
        <w:t xml:space="preserve">. </w:t>
      </w:r>
    </w:p>
    <w:p w:rsidR="00A23F33" w:rsidRPr="006B4515" w:rsidRDefault="00A23F33" w:rsidP="003B2988">
      <w:pPr>
        <w:pStyle w:val="Akapitzlist"/>
        <w:numPr>
          <w:ilvl w:val="0"/>
          <w:numId w:val="15"/>
        </w:numPr>
        <w:jc w:val="both"/>
        <w:rPr>
          <w:rFonts w:eastAsia="Calibri" w:cs="Times New Roman"/>
        </w:rPr>
      </w:pPr>
      <w:r w:rsidRPr="006B4515">
        <w:rPr>
          <w:rFonts w:eastAsia="Calibri" w:cs="Times New Roman"/>
        </w:rPr>
        <w:t>Materiały i inne środki nie stanowiące środków trwałych.</w:t>
      </w:r>
    </w:p>
    <w:p w:rsidR="00A23F33" w:rsidRDefault="00A23F33" w:rsidP="003B2988">
      <w:pPr>
        <w:pStyle w:val="Akapitzlist"/>
        <w:numPr>
          <w:ilvl w:val="0"/>
          <w:numId w:val="15"/>
        </w:numPr>
        <w:spacing w:after="0"/>
        <w:ind w:left="714" w:hanging="357"/>
        <w:contextualSpacing w:val="0"/>
        <w:jc w:val="both"/>
        <w:rPr>
          <w:rFonts w:eastAsia="Calibri"/>
        </w:rPr>
      </w:pPr>
      <w:r w:rsidRPr="006B4515">
        <w:rPr>
          <w:rFonts w:eastAsia="Calibri" w:cs="Times New Roman"/>
        </w:rPr>
        <w:t>Wydatki na sprzęt służący</w:t>
      </w:r>
      <w:r w:rsidRPr="006B4515">
        <w:rPr>
          <w:rFonts w:eastAsia="Calibri"/>
        </w:rPr>
        <w:t xml:space="preserve"> digitalizacji przekraczające 49% całkowitych wydatków kwalifikowalnych projektu.</w:t>
      </w:r>
    </w:p>
    <w:p w:rsidR="009261C8" w:rsidRDefault="009261C8" w:rsidP="003B2988">
      <w:pPr>
        <w:pStyle w:val="Akapitzlist"/>
        <w:numPr>
          <w:ilvl w:val="0"/>
          <w:numId w:val="15"/>
        </w:numPr>
        <w:spacing w:after="0"/>
        <w:ind w:left="714" w:hanging="357"/>
        <w:contextualSpacing w:val="0"/>
        <w:jc w:val="both"/>
        <w:rPr>
          <w:rFonts w:eastAsia="Calibri"/>
        </w:rPr>
      </w:pPr>
      <w:r>
        <w:rPr>
          <w:rFonts w:eastAsia="Calibri"/>
        </w:rPr>
        <w:t>Środki transportu</w:t>
      </w:r>
      <w:r w:rsidR="001E1928" w:rsidRPr="00BA0A54">
        <w:rPr>
          <w:rStyle w:val="Odwoanieprzypisudolnego"/>
          <w:rFonts w:eastAsia="Calibri"/>
          <w:b/>
        </w:rPr>
        <w:footnoteReference w:customMarkFollows="1" w:id="8"/>
        <w:sym w:font="Symbol" w:char="F02A"/>
      </w:r>
      <w:r w:rsidR="00176EB7">
        <w:rPr>
          <w:rFonts w:eastAsia="Calibri"/>
        </w:rPr>
        <w:t>.</w:t>
      </w:r>
    </w:p>
    <w:p w:rsidR="00C34307" w:rsidRPr="006B4515" w:rsidRDefault="00C34307" w:rsidP="003B2988">
      <w:pPr>
        <w:pStyle w:val="Akapitzlist"/>
        <w:spacing w:after="0"/>
        <w:ind w:left="714"/>
        <w:contextualSpacing w:val="0"/>
        <w:jc w:val="both"/>
        <w:rPr>
          <w:rFonts w:eastAsia="Calibri"/>
        </w:rPr>
      </w:pPr>
    </w:p>
    <w:p w:rsidR="00A23F33" w:rsidRPr="006B4515" w:rsidRDefault="00A23F33" w:rsidP="003B2988">
      <w:pPr>
        <w:jc w:val="both"/>
        <w:rPr>
          <w:b/>
        </w:rPr>
      </w:pPr>
      <w:r w:rsidRPr="006B4515">
        <w:rPr>
          <w:rFonts w:eastAsia="Calibri"/>
          <w:b/>
        </w:rPr>
        <w:t>3.1</w:t>
      </w:r>
      <w:r w:rsidRPr="006B4515">
        <w:rPr>
          <w:b/>
        </w:rPr>
        <w:t xml:space="preserve"> Produkcja i dystrybucja energii ze źródeł odnawialnych:</w:t>
      </w:r>
    </w:p>
    <w:p w:rsidR="00A23F33" w:rsidRPr="006B4515" w:rsidRDefault="00A23F33" w:rsidP="003B2988">
      <w:pPr>
        <w:numPr>
          <w:ilvl w:val="0"/>
          <w:numId w:val="21"/>
        </w:numPr>
        <w:spacing w:after="0"/>
        <w:jc w:val="both"/>
      </w:pPr>
      <w:r w:rsidRPr="006B4515">
        <w:t>Wydatki na budowę i/lub modernizację infrastruktury służącej produkcji energii pochodzącej z konwencjonalnych źródeł energii tj. paliw kopalnych (np. węgiel kamienny, węgiel brunatny, ropa naftowa, gaz ziemny).</w:t>
      </w:r>
    </w:p>
    <w:p w:rsidR="00A23F33" w:rsidRPr="006B4515" w:rsidRDefault="00A23F33" w:rsidP="003B2988">
      <w:pPr>
        <w:numPr>
          <w:ilvl w:val="0"/>
          <w:numId w:val="21"/>
        </w:numPr>
        <w:spacing w:after="0"/>
        <w:jc w:val="both"/>
      </w:pPr>
      <w:r w:rsidRPr="006B4515">
        <w:t>Wydatki związane z demontażem urządzeń służących produkcji energii pochodzącej z konwencjonalnych źródeł energii, tj. paliw kopalnych (np. węgiel kamienny, węgiel brunatny, ropa naftowa, gaz ziemny).</w:t>
      </w:r>
    </w:p>
    <w:p w:rsidR="00A23F33" w:rsidRPr="006B4515" w:rsidRDefault="00A23F33" w:rsidP="003B2988">
      <w:pPr>
        <w:numPr>
          <w:ilvl w:val="0"/>
          <w:numId w:val="21"/>
        </w:numPr>
        <w:spacing w:after="0"/>
        <w:jc w:val="both"/>
      </w:pPr>
      <w:r w:rsidRPr="006B4515">
        <w:t>Wydatki związane z zakupem środków transportu.</w:t>
      </w:r>
    </w:p>
    <w:p w:rsidR="00A23F33" w:rsidRPr="006B4515" w:rsidRDefault="00A23F33" w:rsidP="003B2988">
      <w:pPr>
        <w:pStyle w:val="Akapitzlist"/>
        <w:numPr>
          <w:ilvl w:val="0"/>
          <w:numId w:val="21"/>
        </w:numPr>
        <w:spacing w:after="0"/>
        <w:jc w:val="both"/>
        <w:rPr>
          <w:rFonts w:cs="Arial"/>
        </w:rPr>
      </w:pPr>
      <w:r w:rsidRPr="006B4515">
        <w:rPr>
          <w:rFonts w:cs="Arial"/>
        </w:rPr>
        <w:t>Wydatki poniesione na infrastrukturę służącą do przyłączenia do najbliżej istniejącej sieci przekraczające 49% wartości całkowitych wydatków kwalifikowalnych projektu.</w:t>
      </w:r>
    </w:p>
    <w:p w:rsidR="00A23F33" w:rsidRPr="006B4515" w:rsidRDefault="00A23F33" w:rsidP="003B2988">
      <w:pPr>
        <w:pStyle w:val="Akapitzlist"/>
        <w:numPr>
          <w:ilvl w:val="0"/>
          <w:numId w:val="21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 xml:space="preserve">Wydatki na wynagrodzenia będące efektem tworzenia nowych miejsc pracy. </w:t>
      </w:r>
    </w:p>
    <w:p w:rsidR="00A23F33" w:rsidRDefault="00A23F33" w:rsidP="003B2988">
      <w:pPr>
        <w:pStyle w:val="Akapitzlist"/>
        <w:numPr>
          <w:ilvl w:val="0"/>
          <w:numId w:val="21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ponoszone przez Beneficjenta projektu grantowego (</w:t>
      </w:r>
      <w:proofErr w:type="spellStart"/>
      <w:r w:rsidRPr="006B4515">
        <w:rPr>
          <w:rFonts w:eastAsia="Times New Roman" w:cs="Times New Roman"/>
        </w:rPr>
        <w:t>Grantodawcę</w:t>
      </w:r>
      <w:proofErr w:type="spellEnd"/>
      <w:r w:rsidRPr="006B4515">
        <w:rPr>
          <w:rFonts w:eastAsia="Times New Roman" w:cs="Times New Roman"/>
        </w:rPr>
        <w:t>) przekraczające 15% całkowitych wydatków kwalifikowalnych projektu grantowego.</w:t>
      </w:r>
    </w:p>
    <w:p w:rsidR="00C34307" w:rsidRPr="006B4515" w:rsidRDefault="00C34307" w:rsidP="003B2988">
      <w:pPr>
        <w:pStyle w:val="Akapitzlist"/>
        <w:spacing w:after="0"/>
        <w:jc w:val="both"/>
        <w:rPr>
          <w:rFonts w:eastAsia="Times New Roman" w:cs="Times New Roman"/>
        </w:rPr>
      </w:pPr>
    </w:p>
    <w:p w:rsidR="00A23F33" w:rsidRPr="006B4515" w:rsidRDefault="00A23F33" w:rsidP="003B2988">
      <w:pPr>
        <w:jc w:val="both"/>
        <w:rPr>
          <w:b/>
        </w:rPr>
      </w:pPr>
      <w:r w:rsidRPr="006B4515">
        <w:rPr>
          <w:rFonts w:eastAsia="Calibri"/>
          <w:b/>
        </w:rPr>
        <w:t>3.2</w:t>
      </w:r>
      <w:r w:rsidR="00C34307">
        <w:rPr>
          <w:b/>
        </w:rPr>
        <w:t xml:space="preserve"> </w:t>
      </w:r>
      <w:r w:rsidRPr="006B4515">
        <w:rPr>
          <w:b/>
        </w:rPr>
        <w:t>Efektywność energetyczna w MŚP:</w:t>
      </w:r>
    </w:p>
    <w:p w:rsidR="00A23F33" w:rsidRPr="006B4515" w:rsidRDefault="00A23F33" w:rsidP="003B2988">
      <w:pPr>
        <w:numPr>
          <w:ilvl w:val="0"/>
          <w:numId w:val="22"/>
        </w:numPr>
        <w:spacing w:after="0"/>
        <w:jc w:val="both"/>
      </w:pPr>
      <w:r w:rsidRPr="006B4515">
        <w:t xml:space="preserve">Wydatki w ramach projektu dotyczące budynków mieszkalnych i użyteczności publicznej, których właścicielem jest JST lub są własnością jednostek, dla których podmiotem założycielskim jest JST. Nie dotyczy </w:t>
      </w:r>
      <w:r w:rsidRPr="006B4515">
        <w:rPr>
          <w:rFonts w:eastAsia="TTE1ABE920t00"/>
        </w:rPr>
        <w:t>przedsiębiorstw, których większość udziałów lub akcji należy do JST.</w:t>
      </w:r>
    </w:p>
    <w:p w:rsidR="00A23F33" w:rsidRPr="006B4515" w:rsidRDefault="00A23F33" w:rsidP="003B2988">
      <w:pPr>
        <w:pStyle w:val="Akapitzlist"/>
        <w:numPr>
          <w:ilvl w:val="0"/>
          <w:numId w:val="22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na wynagrodzenia będące efektem tworzenia nowych miejsc pracy.</w:t>
      </w:r>
    </w:p>
    <w:p w:rsidR="00A23F33" w:rsidRDefault="00A23F33" w:rsidP="003B2988">
      <w:pPr>
        <w:pStyle w:val="Akapitzlist"/>
        <w:numPr>
          <w:ilvl w:val="0"/>
          <w:numId w:val="22"/>
        </w:numPr>
        <w:spacing w:after="0"/>
        <w:jc w:val="both"/>
        <w:rPr>
          <w:rFonts w:eastAsia="Times New Roman" w:cs="Times New Roman"/>
        </w:rPr>
      </w:pPr>
      <w:r w:rsidRPr="006B4515">
        <w:t>Wydatki związane z działaniami informacyjno-promocyjnymi projektu.</w:t>
      </w:r>
      <w:r w:rsidRPr="006B4515">
        <w:rPr>
          <w:rFonts w:eastAsia="Times New Roman" w:cs="Times New Roman"/>
        </w:rPr>
        <w:t xml:space="preserve"> </w:t>
      </w:r>
    </w:p>
    <w:p w:rsidR="001E33E2" w:rsidRDefault="001E33E2" w:rsidP="001E33E2">
      <w:pPr>
        <w:pStyle w:val="Akapitzlist"/>
        <w:numPr>
          <w:ilvl w:val="0"/>
          <w:numId w:val="22"/>
        </w:numPr>
        <w:jc w:val="both"/>
      </w:pPr>
      <w:r w:rsidRPr="006B4515">
        <w:t>Wydatki na oświetlenie energooszczędne i wymianę innych urządzeń stanowiących wyposażenie budynku (np. windy, pompy) na energooszczędne, przekraczające wartość 10 % wydatków kwalifikowalnych w projekcie</w:t>
      </w:r>
      <w:r w:rsidR="001E1928" w:rsidRPr="00BA0A54">
        <w:rPr>
          <w:rStyle w:val="Odwoanieprzypisudolnego"/>
          <w:b/>
        </w:rPr>
        <w:footnoteReference w:customMarkFollows="1" w:id="9"/>
        <w:sym w:font="Symbol" w:char="F02A"/>
      </w:r>
      <w:r w:rsidRPr="006B4515">
        <w:t>.</w:t>
      </w:r>
    </w:p>
    <w:p w:rsidR="001213D3" w:rsidRPr="001213D3" w:rsidRDefault="001D4A2D" w:rsidP="001213D3">
      <w:pPr>
        <w:pStyle w:val="Akapitzlist"/>
        <w:numPr>
          <w:ilvl w:val="0"/>
          <w:numId w:val="22"/>
        </w:numPr>
        <w:jc w:val="both"/>
      </w:pPr>
      <w:r w:rsidRPr="006B4515">
        <w:rPr>
          <w:rFonts w:eastAsia="Times New Roman" w:cs="Times New Roman"/>
        </w:rPr>
        <w:t>Wydatki na roboty budowlane nie związane bezpośrednio z poprawą efektywności energetycznej (np. nie wynikające z audytu, dot. remontu sanitariatów, zmiana układu pomieszczeń, wyposażenie pomieszczeń w meble, remont/modernizacja klatki schodowej, remont/modernizacja instalacji w zakresie nie związanym bezpośrednio z poprawą efektywności energetycznej, zagospodarowanie terenu, itp.)</w:t>
      </w:r>
      <w:r w:rsidR="001E1928" w:rsidRPr="00BA0A54">
        <w:rPr>
          <w:rStyle w:val="Odwoanieprzypisudolnego"/>
          <w:rFonts w:eastAsia="Times New Roman" w:cs="Times New Roman"/>
          <w:b/>
        </w:rPr>
        <w:footnoteReference w:customMarkFollows="1" w:id="10"/>
        <w:sym w:font="Symbol" w:char="F02A"/>
      </w:r>
      <w:r w:rsidRPr="006B4515">
        <w:rPr>
          <w:rFonts w:eastAsia="Times New Roman" w:cs="Times New Roman"/>
        </w:rPr>
        <w:t>.</w:t>
      </w:r>
    </w:p>
    <w:p w:rsidR="00A23F33" w:rsidRPr="006B4515" w:rsidRDefault="00A23F33" w:rsidP="003B2988">
      <w:pPr>
        <w:jc w:val="both"/>
        <w:rPr>
          <w:b/>
        </w:rPr>
      </w:pPr>
      <w:r w:rsidRPr="006B4515">
        <w:rPr>
          <w:b/>
        </w:rPr>
        <w:t>3.3 Efektywność energetyczna w budynkach użyteczności publicznej i sektorze mieszkaniowym:</w:t>
      </w:r>
    </w:p>
    <w:p w:rsidR="00A23F33" w:rsidRPr="006B4515" w:rsidRDefault="00A23F33" w:rsidP="003B2988">
      <w:pPr>
        <w:pStyle w:val="Akapitzlist"/>
        <w:numPr>
          <w:ilvl w:val="0"/>
          <w:numId w:val="15"/>
        </w:numPr>
        <w:jc w:val="both"/>
      </w:pPr>
      <w:r w:rsidRPr="006B4515">
        <w:t>Wydatki na oświetlenie energooszczędne i wymianę innych urządzeń stanowiących wyposażenie budynku (np. windy, pompy) na energooszczędne, przekraczające wartość 10 % wydatków kwalifikowalnych w projekcie.</w:t>
      </w:r>
    </w:p>
    <w:p w:rsidR="00A23F33" w:rsidRPr="006B4515" w:rsidRDefault="00A23F33" w:rsidP="003B2988">
      <w:pPr>
        <w:pStyle w:val="Akapitzlist"/>
        <w:numPr>
          <w:ilvl w:val="0"/>
          <w:numId w:val="15"/>
        </w:numPr>
        <w:jc w:val="both"/>
      </w:pPr>
      <w:r w:rsidRPr="006B4515">
        <w:t>Wydatki na podłączenie do sieci ciepłowniczej przewyższające 49% wydatków kwalifikowalnych w projekcie.</w:t>
      </w:r>
      <w:r w:rsidRPr="006B4515">
        <w:rPr>
          <w:rFonts w:eastAsia="Times New Roman" w:cs="Times New Roman"/>
        </w:rPr>
        <w:t xml:space="preserve"> </w:t>
      </w:r>
    </w:p>
    <w:p w:rsidR="00A23F33" w:rsidRPr="006B4515" w:rsidRDefault="00A23F33" w:rsidP="003B2988">
      <w:pPr>
        <w:pStyle w:val="Akapitzlist"/>
        <w:numPr>
          <w:ilvl w:val="0"/>
          <w:numId w:val="15"/>
        </w:numPr>
        <w:jc w:val="both"/>
      </w:pPr>
      <w:r w:rsidRPr="006B4515">
        <w:rPr>
          <w:rFonts w:eastAsia="Times New Roman" w:cs="Times New Roman"/>
        </w:rPr>
        <w:t>Wydatki na roboty budowlane nie związane bezpośrednio z poprawą efektywności energetycznej (np. nie wynikające z audytu, dot. remontu sanitariatów, zmiana układu pomieszczeń, wyposażenie pomieszczeń w meble, remont/modernizacja klatki schodowej, remont/modernizacja instalacji w zakresie nie związanym bezpośrednio z poprawą efektywności energetycznej, zagospodarowanie terenu, itp.).</w:t>
      </w:r>
    </w:p>
    <w:p w:rsidR="00A23F33" w:rsidRPr="006B4515" w:rsidRDefault="00A23F33" w:rsidP="003B2988">
      <w:pPr>
        <w:jc w:val="both"/>
        <w:rPr>
          <w:b/>
        </w:rPr>
      </w:pPr>
      <w:r w:rsidRPr="006B4515">
        <w:rPr>
          <w:b/>
        </w:rPr>
        <w:t>3.4 Wdrażanie strategii niskoemisyjnych:</w:t>
      </w:r>
    </w:p>
    <w:p w:rsidR="00A23F33" w:rsidRDefault="00A23F33" w:rsidP="003B2988">
      <w:pPr>
        <w:pStyle w:val="Akapitzlist"/>
        <w:numPr>
          <w:ilvl w:val="0"/>
          <w:numId w:val="15"/>
        </w:numPr>
        <w:jc w:val="both"/>
      </w:pPr>
      <w:r w:rsidRPr="006B4515">
        <w:t>Wydatki na i</w:t>
      </w:r>
      <w:r w:rsidRPr="006B4515">
        <w:rPr>
          <w:rFonts w:cs="Arial"/>
        </w:rPr>
        <w:t xml:space="preserve">nwestycje infrastruktury drogowej stanowiące element uzupełniający projektu </w:t>
      </w:r>
      <w:r w:rsidRPr="006B4515">
        <w:t>przekraczające wartość 35% wartości wydatków kwalifikowalnych w projekcie.</w:t>
      </w:r>
    </w:p>
    <w:p w:rsidR="005514D5" w:rsidRPr="006B4515" w:rsidRDefault="005514D5" w:rsidP="003B2988">
      <w:pPr>
        <w:pStyle w:val="Akapitzlist"/>
        <w:numPr>
          <w:ilvl w:val="0"/>
          <w:numId w:val="15"/>
        </w:numPr>
        <w:jc w:val="both"/>
      </w:pPr>
      <w:r>
        <w:t xml:space="preserve">Wydatki, </w:t>
      </w:r>
      <w:r w:rsidR="005C4AA9">
        <w:t xml:space="preserve">na te elementy projektu, </w:t>
      </w:r>
      <w:r>
        <w:t xml:space="preserve">których nie da się </w:t>
      </w:r>
      <w:r w:rsidR="005C4AA9">
        <w:t xml:space="preserve">zmierzyć wskaźnikiem produktu lub rezultatu z </w:t>
      </w:r>
      <w:proofErr w:type="spellStart"/>
      <w:r w:rsidR="005C4AA9">
        <w:t>SzOOP</w:t>
      </w:r>
      <w:proofErr w:type="spellEnd"/>
      <w:r w:rsidR="005C4AA9">
        <w:t>, np. wspólny bilet, stacja ładowania pojazdów elektrycznych – niekwalifikowalne są wydatki ponad limit 49%</w:t>
      </w:r>
      <w:bookmarkStart w:id="4" w:name="_Hlk485204012"/>
      <w:r w:rsidR="001E1928" w:rsidRPr="00BA0A54">
        <w:rPr>
          <w:rStyle w:val="Odwoanieprzypisudolnego"/>
          <w:b/>
        </w:rPr>
        <w:footnoteReference w:customMarkFollows="1" w:id="11"/>
        <w:sym w:font="Symbol" w:char="F02A"/>
      </w:r>
      <w:bookmarkEnd w:id="4"/>
      <w:r w:rsidR="00BA0A54" w:rsidRPr="004642E8">
        <w:rPr>
          <w:rStyle w:val="Odwoanieprzypisudolnego"/>
          <w:b/>
        </w:rPr>
        <w:footnoteReference w:customMarkFollows="1" w:id="12"/>
        <w:sym w:font="Symbol" w:char="F02A"/>
      </w:r>
      <w:r w:rsidR="005C4AA9">
        <w:t>.</w:t>
      </w:r>
    </w:p>
    <w:p w:rsidR="00A23F33" w:rsidRPr="006B4515" w:rsidRDefault="00A23F33" w:rsidP="003B2988">
      <w:pPr>
        <w:pStyle w:val="Akapitzlist"/>
        <w:numPr>
          <w:ilvl w:val="0"/>
          <w:numId w:val="15"/>
        </w:numPr>
        <w:jc w:val="both"/>
      </w:pPr>
      <w:r w:rsidRPr="006B4515">
        <w:t>Wydatki na zakup środków transportu nie spełniających europejskich norm dotyczących komunikacji zbiorowej (np. bezpieczeństwa, środowiskowych, technicznych).</w:t>
      </w:r>
    </w:p>
    <w:p w:rsidR="00A23F33" w:rsidRPr="006B4515" w:rsidRDefault="00A23F33" w:rsidP="003B2988">
      <w:pPr>
        <w:pStyle w:val="Akapitzlist"/>
        <w:numPr>
          <w:ilvl w:val="0"/>
          <w:numId w:val="15"/>
        </w:numPr>
        <w:jc w:val="both"/>
      </w:pPr>
      <w:r w:rsidRPr="006B4515">
        <w:t xml:space="preserve">Wydatki na energooszczędne oświetlenie miejskie przekraczające wartość </w:t>
      </w:r>
      <w:r w:rsidR="005514D5">
        <w:t>49</w:t>
      </w:r>
      <w:r w:rsidRPr="006B4515">
        <w:t>%</w:t>
      </w:r>
      <w:r w:rsidR="002E2386" w:rsidRPr="006E71A1">
        <w:rPr>
          <w:rStyle w:val="Odwoanieprzypisudolnego"/>
        </w:rPr>
        <w:footnoteReference w:customMarkFollows="1" w:id="13"/>
        <w:sym w:font="Symbol" w:char="F02A"/>
      </w:r>
      <w:r w:rsidR="002E2386" w:rsidRPr="006E71A1">
        <w:rPr>
          <w:rStyle w:val="Odwoanieprzypisudolnego"/>
        </w:rPr>
        <w:footnoteReference w:customMarkFollows="1" w:id="14"/>
        <w:sym w:font="Symbol" w:char="F02A"/>
      </w:r>
      <w:r w:rsidRPr="006B4515">
        <w:t xml:space="preserve"> wydatków kwalifikowalnych w projekcie.</w:t>
      </w:r>
    </w:p>
    <w:p w:rsidR="00A23F33" w:rsidRPr="006B4515" w:rsidRDefault="00A23F33" w:rsidP="003B2988">
      <w:pPr>
        <w:pStyle w:val="Akapitzlist"/>
        <w:numPr>
          <w:ilvl w:val="0"/>
          <w:numId w:val="15"/>
        </w:numPr>
        <w:jc w:val="both"/>
      </w:pPr>
      <w:r w:rsidRPr="006B4515">
        <w:t xml:space="preserve">Powyższe limity nie podlegają sumowaniu, tzn. elementy uzupełniające muszą zawsze stanowić mniej niż </w:t>
      </w:r>
      <w:r w:rsidR="005514D5">
        <w:t>49</w:t>
      </w:r>
      <w:r w:rsidRPr="006B4515">
        <w:t>%</w:t>
      </w:r>
      <w:r w:rsidR="006E71A1" w:rsidRPr="006E71A1">
        <w:rPr>
          <w:rStyle w:val="Odwoanieprzypisudolnego"/>
        </w:rPr>
        <w:footnoteReference w:customMarkFollows="1" w:id="15"/>
        <w:sym w:font="Symbol" w:char="F02A"/>
      </w:r>
      <w:r w:rsidR="0001438D" w:rsidRPr="006E71A1">
        <w:rPr>
          <w:rStyle w:val="Odwoanieprzypisudolnego"/>
        </w:rPr>
        <w:footnoteReference w:customMarkFollows="1" w:id="16"/>
        <w:sym w:font="Symbol" w:char="F02A"/>
      </w:r>
      <w:r w:rsidRPr="006B4515">
        <w:t xml:space="preserve"> wydatków kwalifikowalnych w projekcie. Jeśli np. projekt składa się z</w:t>
      </w:r>
      <w:r w:rsidR="003B2988">
        <w:t> </w:t>
      </w:r>
      <w:r w:rsidRPr="006B4515">
        <w:t xml:space="preserve">budowy centrum przesiadkowego, drogi prowadzącej do centrum oraz oświetlenia miejskiego na innym obszarze, wówczas wydatki na centrum przesiadkowe powinny stanowić więcej niż </w:t>
      </w:r>
      <w:r w:rsidR="00D962FC">
        <w:t>49</w:t>
      </w:r>
      <w:r w:rsidRPr="006B4515">
        <w:t>%</w:t>
      </w:r>
      <w:r w:rsidR="0001438D" w:rsidRPr="0001438D">
        <w:rPr>
          <w:rStyle w:val="Odwoanieprzypisudolnego"/>
        </w:rPr>
        <w:footnoteReference w:customMarkFollows="1" w:id="17"/>
        <w:sym w:font="Symbol" w:char="F02A"/>
      </w:r>
      <w:r w:rsidR="0001438D" w:rsidRPr="0001438D">
        <w:rPr>
          <w:rStyle w:val="Odwoanieprzypisudolnego"/>
        </w:rPr>
        <w:footnoteReference w:customMarkFollows="1" w:id="18"/>
        <w:sym w:font="Symbol" w:char="F02A"/>
      </w:r>
      <w:r w:rsidRPr="006B4515">
        <w:t xml:space="preserve"> wydatków kwalifikowalnych, wydatki na drogę do 35% a pozostałą część wydatki na oświetlenie na innym obszarze, przy czym jeśli oświetlenie drogi jest obligatoryjne (wynika z przepisów prawa) to nie jest traktowane jako element projektu poświęconego oświetleniu lecz drogom).</w:t>
      </w:r>
    </w:p>
    <w:p w:rsidR="00A23F33" w:rsidRPr="006B4515" w:rsidRDefault="00A23F33" w:rsidP="003B2988">
      <w:pPr>
        <w:jc w:val="both"/>
      </w:pPr>
      <w:r w:rsidRPr="006B4515">
        <w:rPr>
          <w:b/>
        </w:rPr>
        <w:t>3.5</w:t>
      </w:r>
      <w:r w:rsidRPr="006B4515">
        <w:t xml:space="preserve"> </w:t>
      </w:r>
      <w:r w:rsidRPr="006B4515">
        <w:rPr>
          <w:b/>
        </w:rPr>
        <w:t>Wysokosprawna Kogeneracja:</w:t>
      </w:r>
    </w:p>
    <w:p w:rsidR="00A23F33" w:rsidRPr="006B4515" w:rsidRDefault="00A23F33" w:rsidP="003B2988">
      <w:pPr>
        <w:spacing w:after="0"/>
        <w:ind w:left="726" w:hanging="363"/>
        <w:jc w:val="both"/>
      </w:pPr>
      <w:r w:rsidRPr="006B4515">
        <w:t>•</w:t>
      </w:r>
      <w:r w:rsidRPr="006B4515">
        <w:tab/>
        <w:t xml:space="preserve">Wydatki poniesione na wykonanie wewnętrznej instalacji odbiorczej z wyłączeniem sytuacji, w której wytwarzana energia służy m.in. zaspokojeniu potrzeb własnych.  </w:t>
      </w:r>
    </w:p>
    <w:p w:rsidR="00A23F33" w:rsidRPr="006B4515" w:rsidRDefault="00A23F33" w:rsidP="003B2988">
      <w:pPr>
        <w:pStyle w:val="Akapitzlist"/>
        <w:numPr>
          <w:ilvl w:val="0"/>
          <w:numId w:val="24"/>
        </w:numPr>
        <w:spacing w:after="0"/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 xml:space="preserve">Wydatki na wynagrodzenia będące efektem tworzenia nowych miejsc pracy. </w:t>
      </w:r>
    </w:p>
    <w:p w:rsidR="00A23F33" w:rsidRPr="006B4515" w:rsidRDefault="00A23F33" w:rsidP="003B2988">
      <w:pPr>
        <w:pStyle w:val="Akapitzlist"/>
        <w:numPr>
          <w:ilvl w:val="0"/>
          <w:numId w:val="24"/>
        </w:numPr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 xml:space="preserve">Wydatki na działania związane z utrzymaniem funkcjonowania źródła energii oraz zwykła wymiana części, które podlegałyby wymianie w trakcie zwykłego okresu eksploatacji przedmiotowej instalacji, nie prowadzące do wydłużenia przewidywanego okresu jej ekonomicznego wykorzystania. </w:t>
      </w:r>
    </w:p>
    <w:p w:rsidR="00A23F33" w:rsidRPr="006B4515" w:rsidRDefault="00A23F33" w:rsidP="003B2988">
      <w:pPr>
        <w:pStyle w:val="Akapitzlist"/>
        <w:numPr>
          <w:ilvl w:val="0"/>
          <w:numId w:val="24"/>
        </w:numPr>
        <w:jc w:val="both"/>
        <w:rPr>
          <w:iCs/>
          <w:color w:val="1F497D" w:themeColor="text2"/>
        </w:rPr>
      </w:pPr>
      <w:r w:rsidRPr="006B4515">
        <w:t>Wydatki związane z działaniami informacyjno-promocyjnymi projektu.</w:t>
      </w:r>
    </w:p>
    <w:p w:rsidR="00A23F33" w:rsidRPr="006B4515" w:rsidRDefault="00A23F33" w:rsidP="003B2988">
      <w:pPr>
        <w:jc w:val="both"/>
        <w:rPr>
          <w:b/>
        </w:rPr>
      </w:pPr>
      <w:r w:rsidRPr="006B4515">
        <w:rPr>
          <w:b/>
        </w:rPr>
        <w:t>4.1 Gospodarka odpadami:</w:t>
      </w:r>
    </w:p>
    <w:p w:rsidR="00A23F33" w:rsidRPr="006B4515" w:rsidRDefault="00A23F33" w:rsidP="003B2988">
      <w:pPr>
        <w:pStyle w:val="Akapitzlist"/>
        <w:numPr>
          <w:ilvl w:val="0"/>
          <w:numId w:val="11"/>
        </w:numPr>
        <w:jc w:val="both"/>
        <w:rPr>
          <w:b/>
        </w:rPr>
      </w:pPr>
      <w:r w:rsidRPr="006B4515">
        <w:t>Zakup środków transportu, z wyłączeniem specjalistycznych środków transportu odpadów.</w:t>
      </w:r>
    </w:p>
    <w:p w:rsidR="00A23F33" w:rsidRPr="006B4515" w:rsidRDefault="00A23F33" w:rsidP="003B2988">
      <w:pPr>
        <w:pStyle w:val="Akapitzlist"/>
        <w:numPr>
          <w:ilvl w:val="0"/>
          <w:numId w:val="11"/>
        </w:numPr>
        <w:jc w:val="both"/>
        <w:rPr>
          <w:b/>
        </w:rPr>
      </w:pPr>
      <w:r w:rsidRPr="006B4515">
        <w:t>Wydatki poniesione na instalacje służące do odzysku energii z odpadów przekraczające 49% wartości całkowitych wydatków kwalifikowalnych projektu.</w:t>
      </w:r>
    </w:p>
    <w:p w:rsidR="00A23F33" w:rsidRPr="006B4515" w:rsidRDefault="00A23F33" w:rsidP="003B2988">
      <w:pPr>
        <w:jc w:val="both"/>
      </w:pPr>
      <w:r w:rsidRPr="006B4515">
        <w:rPr>
          <w:b/>
        </w:rPr>
        <w:t>4.2 Gospodarka</w:t>
      </w:r>
      <w:r w:rsidRPr="006B4515">
        <w:rPr>
          <w:rFonts w:eastAsia="TTE1ABE920t00"/>
          <w:b/>
        </w:rPr>
        <w:t xml:space="preserve"> wodno-ściekowa:</w:t>
      </w:r>
    </w:p>
    <w:p w:rsidR="00A23F33" w:rsidRPr="006B4515" w:rsidRDefault="00A23F33" w:rsidP="003B2988">
      <w:pPr>
        <w:pStyle w:val="Akapitzlist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6B4515">
        <w:t xml:space="preserve">Zakup środków transportu, z wyłączeniem specjalistycznych środków transportu niezbędnych do prawidłowego funkcjonowania gospodarki wodno-ściekowej w aglomeracjach </w:t>
      </w:r>
      <w:r w:rsidRPr="006B4515">
        <w:rPr>
          <w:rFonts w:cs="Arial"/>
        </w:rPr>
        <w:t>uwzględnionych w </w:t>
      </w:r>
      <w:r w:rsidRPr="006B4515">
        <w:t>Krajowym Programie Oczyszczania Ścieków Komunalnych (KPOŚK) – od 2 do 10 tys. RLM.</w:t>
      </w:r>
    </w:p>
    <w:p w:rsidR="00A23F33" w:rsidRPr="006B4515" w:rsidRDefault="00A23F33" w:rsidP="003B2988">
      <w:pPr>
        <w:pStyle w:val="Akapitzlist"/>
        <w:numPr>
          <w:ilvl w:val="0"/>
          <w:numId w:val="12"/>
        </w:numPr>
        <w:spacing w:after="0"/>
        <w:jc w:val="both"/>
        <w:rPr>
          <w:rFonts w:cs="Times New Roman"/>
        </w:rPr>
      </w:pPr>
      <w:r w:rsidRPr="006B4515">
        <w:t xml:space="preserve">Wydatki na infrastrukturę wodociągową stanowiące powyżej 15% kosztów kwalifikowalnych całkowitych projektu regulującego gospodarkę wodno-ściekową na terenie aglomeracji </w:t>
      </w:r>
      <w:r w:rsidRPr="006B4515">
        <w:rPr>
          <w:rFonts w:cs="Arial"/>
        </w:rPr>
        <w:t>uwzględnionej w </w:t>
      </w:r>
      <w:r w:rsidRPr="006B4515">
        <w:t>Krajowym Programie Oczyszczania Ścieków Komunalnych (KPOŚK) – od 2 do 10 tys. RLM.</w:t>
      </w:r>
    </w:p>
    <w:p w:rsidR="00A23F33" w:rsidRPr="006B4515" w:rsidRDefault="00A23F33" w:rsidP="003B2988">
      <w:pPr>
        <w:pStyle w:val="Akapitzlist"/>
        <w:numPr>
          <w:ilvl w:val="0"/>
          <w:numId w:val="12"/>
        </w:numPr>
        <w:spacing w:after="0"/>
        <w:ind w:left="714" w:hanging="357"/>
        <w:jc w:val="both"/>
        <w:rPr>
          <w:rFonts w:cs="Times New Roman"/>
        </w:rPr>
      </w:pPr>
      <w:r w:rsidRPr="006B4515">
        <w:rPr>
          <w:rFonts w:cs="Times New Roman"/>
        </w:rPr>
        <w:t>Wydatki na infrastrukturę wodno-kanalizacyjną zlokalizowaną poza granicami aglomeracji uwzględnionej w Krajowym Programie Oczyszczania Ścieków Komunalnych (KPOŚK) – od 2 do 10 tys. RLM.</w:t>
      </w:r>
    </w:p>
    <w:p w:rsidR="006B4515" w:rsidRPr="006B4515" w:rsidRDefault="006B4515" w:rsidP="003B2988">
      <w:pPr>
        <w:pStyle w:val="Akapitzlist"/>
        <w:spacing w:after="0"/>
        <w:ind w:left="714"/>
        <w:jc w:val="both"/>
        <w:rPr>
          <w:rFonts w:cs="Times New Roman"/>
        </w:rPr>
      </w:pPr>
    </w:p>
    <w:p w:rsidR="00A23F33" w:rsidRPr="006B4515" w:rsidRDefault="00A23F33" w:rsidP="003B2988">
      <w:pPr>
        <w:jc w:val="both"/>
        <w:rPr>
          <w:b/>
        </w:rPr>
      </w:pPr>
      <w:r w:rsidRPr="006B4515">
        <w:rPr>
          <w:b/>
        </w:rPr>
        <w:t>4.3 Dziedzictwo kulturowe:</w:t>
      </w:r>
    </w:p>
    <w:p w:rsidR="00A23F33" w:rsidRPr="006B4515" w:rsidRDefault="00A23F33" w:rsidP="003B2988">
      <w:pPr>
        <w:pStyle w:val="Akapitzlist"/>
        <w:numPr>
          <w:ilvl w:val="0"/>
          <w:numId w:val="13"/>
        </w:numPr>
        <w:jc w:val="both"/>
      </w:pPr>
      <w:r w:rsidRPr="006B4515">
        <w:t xml:space="preserve">Wydatki związane z termomodernizacją, przekraczające 49% wartości całkowitych wydatków kwalifikowalnych projektu. </w:t>
      </w:r>
    </w:p>
    <w:p w:rsidR="00A23F33" w:rsidRPr="006B4515" w:rsidRDefault="00A23F33" w:rsidP="003B2988">
      <w:pPr>
        <w:pStyle w:val="Akapitzlist"/>
        <w:numPr>
          <w:ilvl w:val="0"/>
          <w:numId w:val="13"/>
        </w:numPr>
        <w:jc w:val="both"/>
      </w:pPr>
      <w:r w:rsidRPr="006B4515">
        <w:t>Zakup (ruchomych i nieruchomych) dzieł sztuki, w tym m.in. nabycie praw do nich.</w:t>
      </w:r>
    </w:p>
    <w:p w:rsidR="00A23F33" w:rsidRPr="006B4515" w:rsidRDefault="00A23F33" w:rsidP="003B2988">
      <w:pPr>
        <w:pStyle w:val="Akapitzlist"/>
        <w:numPr>
          <w:ilvl w:val="0"/>
          <w:numId w:val="13"/>
        </w:numPr>
        <w:spacing w:after="0"/>
        <w:ind w:left="714" w:hanging="357"/>
        <w:contextualSpacing w:val="0"/>
        <w:jc w:val="both"/>
        <w:rPr>
          <w:rFonts w:cs="Times New Roman"/>
        </w:rPr>
      </w:pPr>
      <w:r w:rsidRPr="006B4515">
        <w:t>Wydatki na infrastrukturę towarzyszącą (np. drogi, chodniki, parkingi) stanowiące powyżej 15% całkowitych kosztów kwalifikowalnych projektu.</w:t>
      </w:r>
      <w:r w:rsidRPr="006B4515">
        <w:rPr>
          <w:rFonts w:cs="Times New Roman"/>
        </w:rPr>
        <w:t xml:space="preserve"> </w:t>
      </w:r>
    </w:p>
    <w:p w:rsidR="006B4515" w:rsidRPr="006B4515" w:rsidRDefault="006B4515" w:rsidP="003B2988">
      <w:pPr>
        <w:pStyle w:val="Akapitzlist"/>
        <w:spacing w:after="0"/>
        <w:ind w:left="714"/>
        <w:contextualSpacing w:val="0"/>
        <w:jc w:val="both"/>
        <w:rPr>
          <w:rFonts w:cs="Times New Roman"/>
        </w:rPr>
      </w:pPr>
    </w:p>
    <w:p w:rsidR="00A23F33" w:rsidRPr="006B4515" w:rsidRDefault="00A23F33" w:rsidP="003B2988">
      <w:pPr>
        <w:jc w:val="both"/>
        <w:rPr>
          <w:b/>
        </w:rPr>
      </w:pPr>
      <w:r w:rsidRPr="006B4515">
        <w:rPr>
          <w:b/>
        </w:rPr>
        <w:t>4.4 Ochrona i udostępnianie zasobów przyrodniczych:</w:t>
      </w:r>
    </w:p>
    <w:p w:rsidR="00A23F33" w:rsidRPr="006B4515" w:rsidRDefault="00A23F33" w:rsidP="003B2988">
      <w:pPr>
        <w:pStyle w:val="Akapitzlist"/>
        <w:numPr>
          <w:ilvl w:val="0"/>
          <w:numId w:val="14"/>
        </w:numPr>
        <w:jc w:val="both"/>
      </w:pPr>
      <w:r w:rsidRPr="006B4515">
        <w:t>Wydatki na wyposażenie parków krajobrazowych i rezerwatów nie przyczyniające się bezpośrednio do czynnej ochrony przyrody.</w:t>
      </w:r>
    </w:p>
    <w:p w:rsidR="00A23F33" w:rsidRPr="006B4515" w:rsidRDefault="00A23F33" w:rsidP="003B2988">
      <w:pPr>
        <w:jc w:val="both"/>
        <w:rPr>
          <w:b/>
        </w:rPr>
      </w:pPr>
      <w:r w:rsidRPr="006B4515">
        <w:rPr>
          <w:b/>
        </w:rPr>
        <w:t>4.5 Bezpieczeństwo:</w:t>
      </w:r>
    </w:p>
    <w:p w:rsidR="00A23F33" w:rsidRPr="006B4515" w:rsidRDefault="00A23F33" w:rsidP="003B2988">
      <w:pPr>
        <w:pStyle w:val="Akapitzlist"/>
        <w:numPr>
          <w:ilvl w:val="0"/>
          <w:numId w:val="14"/>
        </w:numPr>
        <w:jc w:val="both"/>
      </w:pPr>
      <w:r w:rsidRPr="006B4515">
        <w:t>W przypadku realizacji projektów na potrzeby systemu monitoringu i zagrożeń – wydatki na zakup używanego sprzętu i wyposażenia.</w:t>
      </w:r>
    </w:p>
    <w:p w:rsidR="00A23F33" w:rsidRPr="006B4515" w:rsidRDefault="00A23F33" w:rsidP="003B2988">
      <w:pPr>
        <w:pStyle w:val="Akapitzlist"/>
        <w:numPr>
          <w:ilvl w:val="0"/>
          <w:numId w:val="14"/>
        </w:numPr>
        <w:jc w:val="both"/>
      </w:pPr>
      <w:r w:rsidRPr="006B4515">
        <w:t>W przypadku realizacji projektów na potrzeby służb ratowniczych – wydatki na zakup używanego sprzętu i wyposażenia oraz wydatki na budowę/przebudowę, remont, itp. infrastruktury niezbędnej do przechowywanie zakupionego w ramach projektu sprzętu, stanowiące powyżej 25% całkowitych kosztów kwalifikowalnych projektu.</w:t>
      </w:r>
    </w:p>
    <w:p w:rsidR="00A23F33" w:rsidRPr="006B4515" w:rsidRDefault="00A23F33" w:rsidP="003B2988">
      <w:pPr>
        <w:jc w:val="both"/>
        <w:rPr>
          <w:b/>
        </w:rPr>
      </w:pPr>
      <w:r w:rsidRPr="006B4515">
        <w:rPr>
          <w:b/>
        </w:rPr>
        <w:t>5.1 Drogowa dostępność transportowa:</w:t>
      </w:r>
    </w:p>
    <w:p w:rsidR="00A23F33" w:rsidRPr="006B4515" w:rsidRDefault="00A23F33" w:rsidP="003B2988">
      <w:pPr>
        <w:pStyle w:val="Akapitzlist"/>
        <w:numPr>
          <w:ilvl w:val="0"/>
          <w:numId w:val="18"/>
        </w:numPr>
        <w:jc w:val="both"/>
      </w:pPr>
      <w:r w:rsidRPr="006B4515">
        <w:t>Wydatki na zakup (w tym leasing) sprzętu służącego do utrzymania lub remontu dróg.</w:t>
      </w:r>
    </w:p>
    <w:p w:rsidR="00A23F33" w:rsidRPr="006B4515" w:rsidRDefault="00A23F33" w:rsidP="003B2988">
      <w:pPr>
        <w:pStyle w:val="Akapitzlist"/>
        <w:numPr>
          <w:ilvl w:val="0"/>
          <w:numId w:val="18"/>
        </w:numPr>
        <w:jc w:val="both"/>
      </w:pPr>
      <w:r w:rsidRPr="006B4515">
        <w:t>W przypadku projektów dotyczących budowy i przebudowy dróg niektóre wydatki na tzw. infrastrukturę towarzyszącą, stanowiącą wyposażenie techniczne dróg</w:t>
      </w:r>
      <w:r w:rsidRPr="006B4515">
        <w:rPr>
          <w:rStyle w:val="Odwoanieprzypisudolnego"/>
        </w:rPr>
        <w:footnoteReference w:id="19"/>
      </w:r>
      <w:r w:rsidRPr="006B4515">
        <w:t xml:space="preserve"> można uznać za kwalifikowalne zgodnie z poniższymi regułami:</w:t>
      </w:r>
    </w:p>
    <w:p w:rsidR="00A23F33" w:rsidRPr="006B4515" w:rsidRDefault="00A23F33" w:rsidP="003B2988">
      <w:pPr>
        <w:numPr>
          <w:ilvl w:val="0"/>
          <w:numId w:val="20"/>
        </w:numPr>
        <w:spacing w:after="0"/>
        <w:jc w:val="both"/>
      </w:pPr>
      <w:r w:rsidRPr="006B4515">
        <w:t>urządzenia odwadniające oraz odprowadzające wodę (np. rowy odwadniające, urządzenia ściekowe, kanalizacja deszczowa) – stanowią w całości wydatek kwalifikowalny;</w:t>
      </w:r>
    </w:p>
    <w:p w:rsidR="00A23F33" w:rsidRPr="006B4515" w:rsidRDefault="00A23F33" w:rsidP="003B2988">
      <w:pPr>
        <w:numPr>
          <w:ilvl w:val="0"/>
          <w:numId w:val="20"/>
        </w:numPr>
        <w:spacing w:after="0"/>
        <w:jc w:val="both"/>
      </w:pPr>
      <w:r w:rsidRPr="006B4515">
        <w:t>urządzenia oświetleniowe – stanowią w całości wydatek kwalifikowalny, jeśli obowiązek ich budowy lub instalacji wynika z przepisów prawa, w przeciwnym razie mogą stanowić wydatek kwalifikowalny do wysokości 25% wydatków kwalifikowalnych w projekcie;</w:t>
      </w:r>
    </w:p>
    <w:p w:rsidR="00A23F33" w:rsidRPr="006B4515" w:rsidRDefault="00A23F33" w:rsidP="003B2988">
      <w:pPr>
        <w:numPr>
          <w:ilvl w:val="0"/>
          <w:numId w:val="20"/>
        </w:numPr>
        <w:spacing w:after="0"/>
        <w:jc w:val="both"/>
      </w:pPr>
      <w:r w:rsidRPr="006B4515">
        <w:t>obiekty i urządzenia obsługi uczestników ruchu, takie jak zatoki postojowe, zatoki autobusowe, perony tramwajowe, pętle autobusowe, place do zawracania, mijanki, przejścia dla pieszych, punkty kontroli samochodów ciężarowych, miejsca obsługi podróżnych typu I o funkcji wypoczynkowej (MOP-I</w:t>
      </w:r>
      <w:r w:rsidRPr="006B4515">
        <w:rPr>
          <w:rStyle w:val="Odwoanieprzypisudolnego"/>
        </w:rPr>
        <w:footnoteReference w:id="20"/>
      </w:r>
      <w:r w:rsidRPr="006B4515">
        <w:t>), mogą stanowić wydatek kwalifikowalny do wysokości 25% wydatków kwalifikowalnych w projekcie. Wydatki na MOP typu II i III</w:t>
      </w:r>
      <w:r w:rsidRPr="006B4515">
        <w:rPr>
          <w:rStyle w:val="Odwoanieprzypisudolnego"/>
        </w:rPr>
        <w:footnoteReference w:id="21"/>
      </w:r>
      <w:r w:rsidRPr="006B4515">
        <w:t xml:space="preserve"> o funkcji wypoczynkowo-usługowej mogą stanowić wydatek kwalifikowalny tylko w części wypoczynkowej odpowiadającej MOP-I do wysokości 25% wydatków kwalifikowalnych w projekcie. Wydatki na budowę miejsc poboru opłat (MPO) stanowią wydatek niekwalifikowalny;</w:t>
      </w:r>
    </w:p>
    <w:p w:rsidR="00A23F33" w:rsidRPr="006B4515" w:rsidRDefault="00A23F33" w:rsidP="003B2988">
      <w:pPr>
        <w:numPr>
          <w:ilvl w:val="0"/>
          <w:numId w:val="20"/>
        </w:numPr>
        <w:spacing w:after="120"/>
        <w:jc w:val="both"/>
      </w:pPr>
      <w:r w:rsidRPr="006B4515">
        <w:t xml:space="preserve">urządzenia techniczne drogi (np. bariery ochronne, ogrodzenie drogi i inne urządzenia zabezpieczające przed wkroczeniem zwierząt na drogę, osłony </w:t>
      </w:r>
      <w:proofErr w:type="spellStart"/>
      <w:r w:rsidRPr="006B4515">
        <w:t>przeciwolśnieniowe</w:t>
      </w:r>
      <w:proofErr w:type="spellEnd"/>
      <w:r w:rsidRPr="006B4515">
        <w:t>, osłony przeciwwietrzne) mogą stanowić wydatek kwalifikowalny do wysokości 25% wydatk</w:t>
      </w:r>
      <w:r w:rsidR="003B2988">
        <w:t>ów kwalifikowalnych w projekcie;</w:t>
      </w:r>
    </w:p>
    <w:p w:rsidR="00A23F33" w:rsidRPr="006B4515" w:rsidRDefault="00A23F33" w:rsidP="003B2988">
      <w:pPr>
        <w:numPr>
          <w:ilvl w:val="0"/>
          <w:numId w:val="20"/>
        </w:numPr>
        <w:spacing w:after="120"/>
        <w:jc w:val="both"/>
      </w:pPr>
      <w:r w:rsidRPr="006B4515">
        <w:t>Limity z punktów 2, 3 i 4 liczone są łącznie, tzn. wydatki w tych kategoriach w sumie nie mogą przekroczyć 25% wydatków kwalifikowalnych w projekcie.</w:t>
      </w:r>
    </w:p>
    <w:p w:rsidR="00A23F33" w:rsidRPr="006B4515" w:rsidRDefault="00A23F33" w:rsidP="003B2988">
      <w:pPr>
        <w:pStyle w:val="Akapitzlist"/>
        <w:numPr>
          <w:ilvl w:val="0"/>
          <w:numId w:val="19"/>
        </w:numPr>
        <w:jc w:val="both"/>
      </w:pPr>
      <w:r w:rsidRPr="006B4515">
        <w:t>Wydatki związane z budową, przebudową, modernizacją i/lub remontem infrastruktury technicznej w pasie drogowym niezwiązanej z drogą (np. linie elektroenergetyczne wysokiego i niskiego napięcia oraz linie telekomunikacyjne, przewody kanalizacyjne niesłużące do odwodnienia drogi, gazowe, ciepłownicze i wodociągowe, urządzenia wodnych melioracji, urządzenia podziemne specjalnego przeznaczenia, ciągi transportowe) z wyłączeniem wydatków związanych z przeprowadzeniem robót budowlanych związanych z uniknięciem kolizji z sieciami istniejącymi w pasie drogowym.</w:t>
      </w:r>
    </w:p>
    <w:p w:rsidR="00A23F33" w:rsidRPr="006B4515" w:rsidRDefault="00A23F33" w:rsidP="003B2988">
      <w:pPr>
        <w:jc w:val="both"/>
        <w:rPr>
          <w:b/>
        </w:rPr>
      </w:pPr>
      <w:r w:rsidRPr="006B4515">
        <w:rPr>
          <w:b/>
        </w:rPr>
        <w:t>5.2 System transportu kolejowego:</w:t>
      </w:r>
    </w:p>
    <w:p w:rsidR="00A23F33" w:rsidRPr="006B4515" w:rsidRDefault="00A23F33" w:rsidP="003B2988">
      <w:pPr>
        <w:pStyle w:val="Akapitzlist"/>
        <w:numPr>
          <w:ilvl w:val="0"/>
          <w:numId w:val="19"/>
        </w:numPr>
        <w:jc w:val="both"/>
      </w:pPr>
      <w:r w:rsidRPr="006B4515">
        <w:t xml:space="preserve">Wydatki na remont i bieżące utrzymanie infrastruktury kolejowej. </w:t>
      </w:r>
    </w:p>
    <w:p w:rsidR="00A23F33" w:rsidRPr="006B4515" w:rsidRDefault="00A23F33" w:rsidP="003B2988">
      <w:pPr>
        <w:pStyle w:val="Akapitzlist"/>
        <w:numPr>
          <w:ilvl w:val="0"/>
          <w:numId w:val="19"/>
        </w:numPr>
        <w:jc w:val="both"/>
      </w:pPr>
      <w:r w:rsidRPr="006B4515">
        <w:t>Wydatki na zakup środków transportu nieposiadających świadectwa/certyfikatu dopuszczenia określonego typu pojazdu kolejowego do eksploatacji na obszarze Rzeczypospolitej Polskiej (spełnienia wymogów np. bezpieczeństwa, środowiskowych, technicznych oraz dotyczących przewozu osób niepełnosprawnych), wydanych przez Urząd Transportu Kolejowego.</w:t>
      </w:r>
    </w:p>
    <w:p w:rsidR="00A23F33" w:rsidRPr="006B4515" w:rsidRDefault="00A23F33" w:rsidP="003B2988">
      <w:pPr>
        <w:pStyle w:val="Akapitzlist"/>
        <w:numPr>
          <w:ilvl w:val="0"/>
          <w:numId w:val="19"/>
        </w:numPr>
        <w:jc w:val="both"/>
      </w:pPr>
      <w:r w:rsidRPr="006B4515">
        <w:t>Wydatki na infrastrukturę poza obszarem dworca lub przystanku kolejowego, która nie służy bezpośrednio podróżnym korzystającym z połączeń kolejowych na linii, którą obsługuje dworzec lub przystanek kolejowy.</w:t>
      </w:r>
    </w:p>
    <w:p w:rsidR="00A23F33" w:rsidRPr="006B4515" w:rsidRDefault="00A23F33" w:rsidP="003B2988">
      <w:pPr>
        <w:pStyle w:val="Akapitzlist"/>
        <w:numPr>
          <w:ilvl w:val="0"/>
          <w:numId w:val="19"/>
        </w:numPr>
        <w:jc w:val="both"/>
      </w:pPr>
      <w:r w:rsidRPr="006B4515">
        <w:t>Wydatki związane z przedsięwzięciami związane z podniesieniem bezpieczeństwa przekraczające 25% wartości wydatków kwalifikowalnych w projekcie.</w:t>
      </w:r>
    </w:p>
    <w:p w:rsidR="00A23F33" w:rsidRPr="006B4515" w:rsidRDefault="00A23F33" w:rsidP="003B2988">
      <w:pPr>
        <w:pStyle w:val="Akapitzlist"/>
        <w:numPr>
          <w:ilvl w:val="0"/>
          <w:numId w:val="19"/>
        </w:numPr>
        <w:jc w:val="both"/>
      </w:pPr>
      <w:r w:rsidRPr="006B4515">
        <w:t>W przypadku projektu kompleksowego, w którym obok infrastruktury liniowej realizowana jest infrastruktura punktowa – wydatki na infrastrukturę punktową przekraczające 15% wartości wydatków kwalifikowalnych w projekcie.</w:t>
      </w:r>
    </w:p>
    <w:p w:rsidR="00A23F33" w:rsidRPr="006B4515" w:rsidRDefault="00A23F33" w:rsidP="003B2988">
      <w:pPr>
        <w:jc w:val="both"/>
        <w:rPr>
          <w:b/>
        </w:rPr>
      </w:pPr>
      <w:r w:rsidRPr="006B4515">
        <w:rPr>
          <w:b/>
        </w:rPr>
        <w:t>6.1 Inwestycje w infrastrukturę społeczną:</w:t>
      </w:r>
    </w:p>
    <w:p w:rsidR="00A23F33" w:rsidRPr="006B4515" w:rsidRDefault="00A23F33" w:rsidP="003B2988">
      <w:pPr>
        <w:pStyle w:val="Akapitzlist"/>
        <w:numPr>
          <w:ilvl w:val="0"/>
          <w:numId w:val="16"/>
        </w:numPr>
        <w:jc w:val="both"/>
        <w:rPr>
          <w:b/>
        </w:rPr>
      </w:pPr>
      <w:r w:rsidRPr="006B4515">
        <w:t>Wydatki na inwestycje w części związanej z prowadzeniem działalności administracyjnej we wspieranych w projekcie budynkach</w:t>
      </w:r>
      <w:r w:rsidRPr="006B4515">
        <w:rPr>
          <w:vertAlign w:val="superscript"/>
        </w:rPr>
        <w:footnoteReference w:id="22"/>
      </w:r>
      <w:r w:rsidRPr="006B4515">
        <w:t>.</w:t>
      </w:r>
    </w:p>
    <w:p w:rsidR="00A23F33" w:rsidRPr="006B4515" w:rsidRDefault="00A23F33" w:rsidP="003B2988">
      <w:pPr>
        <w:pStyle w:val="Akapitzlist"/>
        <w:numPr>
          <w:ilvl w:val="0"/>
          <w:numId w:val="16"/>
        </w:numPr>
        <w:jc w:val="both"/>
        <w:rPr>
          <w:b/>
        </w:rPr>
      </w:pPr>
      <w:r w:rsidRPr="006B4515">
        <w:t>Wydatki na inwestycje w części związanej z prowadzeniem działalności gospodarczej nie związanej celem projektu we wspieranych w projekcie budynkach</w:t>
      </w:r>
      <w:r w:rsidRPr="006B4515">
        <w:rPr>
          <w:vertAlign w:val="superscript"/>
        </w:rPr>
        <w:footnoteReference w:id="23"/>
      </w:r>
      <w:r w:rsidRPr="006B4515">
        <w:t xml:space="preserve"> – w schematach 6.1 C, D, E.</w:t>
      </w:r>
    </w:p>
    <w:p w:rsidR="00A23F33" w:rsidRPr="006B4515" w:rsidRDefault="00A23F33" w:rsidP="003B2988">
      <w:pPr>
        <w:pStyle w:val="Akapitzlist"/>
        <w:numPr>
          <w:ilvl w:val="0"/>
          <w:numId w:val="16"/>
        </w:numPr>
        <w:jc w:val="both"/>
        <w:rPr>
          <w:b/>
        </w:rPr>
      </w:pPr>
      <w:r w:rsidRPr="006B4515">
        <w:t>Wydatki na termomodernizację przekraczające 49% wartości całkowitych wydatków kwalifikowalnych na pojedynczy budynek w projekcie.</w:t>
      </w:r>
    </w:p>
    <w:p w:rsidR="00A23F33" w:rsidRPr="006B4515" w:rsidRDefault="00A23F33" w:rsidP="003B2988">
      <w:pPr>
        <w:pStyle w:val="Akapitzlist"/>
        <w:numPr>
          <w:ilvl w:val="0"/>
          <w:numId w:val="16"/>
        </w:numPr>
        <w:jc w:val="both"/>
        <w:rPr>
          <w:b/>
        </w:rPr>
      </w:pPr>
      <w:r w:rsidRPr="006B4515">
        <w:t xml:space="preserve">Wydatki na zagospodarowanie otoczenia w zieleń i drobną architekturę przekraczające 15 % wartości wydatków kwalifikowalnych – </w:t>
      </w:r>
      <w:r w:rsidR="00981291">
        <w:t>w</w:t>
      </w:r>
      <w:r w:rsidRPr="006B4515">
        <w:t xml:space="preserve"> schemat</w:t>
      </w:r>
      <w:r w:rsidR="00981291">
        <w:t>ach</w:t>
      </w:r>
      <w:r w:rsidRPr="006B4515">
        <w:t xml:space="preserve"> 6.1 A, B, C.</w:t>
      </w:r>
    </w:p>
    <w:p w:rsidR="00A23F33" w:rsidRPr="00A70007" w:rsidRDefault="00A23F33" w:rsidP="003B2988">
      <w:pPr>
        <w:pStyle w:val="Akapitzlist"/>
        <w:numPr>
          <w:ilvl w:val="0"/>
          <w:numId w:val="16"/>
        </w:numPr>
        <w:jc w:val="both"/>
        <w:rPr>
          <w:b/>
        </w:rPr>
      </w:pPr>
      <w:r w:rsidRPr="006B4515">
        <w:t>Wydatki na zagospodarowanie otoczenia w zieleń i drobną architekturę w schematach 6.1 D i</w:t>
      </w:r>
      <w:r w:rsidR="00A326B2">
        <w:t> </w:t>
      </w:r>
      <w:r w:rsidRPr="006B4515">
        <w:t>6.1 E.</w:t>
      </w:r>
    </w:p>
    <w:p w:rsidR="00A70007" w:rsidRPr="006B4515" w:rsidRDefault="00A70007" w:rsidP="003B2988">
      <w:pPr>
        <w:pStyle w:val="Akapitzlist"/>
        <w:numPr>
          <w:ilvl w:val="0"/>
          <w:numId w:val="16"/>
        </w:numPr>
        <w:jc w:val="both"/>
        <w:rPr>
          <w:b/>
        </w:rPr>
      </w:pPr>
      <w:r w:rsidRPr="006B4515">
        <w:t>Wydatki na infrastrukturę towarzyszącą (np. drogi, chodniki, parkingi)</w:t>
      </w:r>
      <w:r w:rsidR="001E1928" w:rsidRPr="00BA0A54">
        <w:rPr>
          <w:rStyle w:val="Odwoanieprzypisudolnego"/>
          <w:b/>
        </w:rPr>
        <w:footnoteReference w:customMarkFollows="1" w:id="24"/>
        <w:t>*</w:t>
      </w:r>
      <w:r>
        <w:t>.</w:t>
      </w:r>
    </w:p>
    <w:p w:rsidR="00A23F33" w:rsidRPr="006B4515" w:rsidRDefault="00A23F33" w:rsidP="003B2988">
      <w:pPr>
        <w:pStyle w:val="Akapitzlist"/>
        <w:numPr>
          <w:ilvl w:val="0"/>
          <w:numId w:val="16"/>
        </w:numPr>
        <w:spacing w:after="0"/>
        <w:ind w:left="714" w:hanging="357"/>
        <w:jc w:val="both"/>
        <w:rPr>
          <w:b/>
        </w:rPr>
      </w:pPr>
      <w:r w:rsidRPr="006B4515">
        <w:t>Wydatki dotyczące infrastruktury przedszkoli</w:t>
      </w:r>
      <w:r w:rsidRPr="006B4515">
        <w:rPr>
          <w:rStyle w:val="Odwoanieprzypisudolnego"/>
        </w:rPr>
        <w:footnoteReference w:id="25"/>
      </w:r>
      <w:r w:rsidRPr="006B4515">
        <w:t>.</w:t>
      </w:r>
    </w:p>
    <w:p w:rsidR="006B4515" w:rsidRPr="006B4515" w:rsidRDefault="006B4515" w:rsidP="003B2988">
      <w:pPr>
        <w:pStyle w:val="Akapitzlist"/>
        <w:spacing w:after="0"/>
        <w:ind w:left="714"/>
        <w:jc w:val="both"/>
        <w:rPr>
          <w:b/>
        </w:rPr>
      </w:pPr>
    </w:p>
    <w:p w:rsidR="00A23F33" w:rsidRPr="006B4515" w:rsidRDefault="00A23F33" w:rsidP="003B2988">
      <w:pPr>
        <w:pStyle w:val="Akapitzlist"/>
        <w:ind w:left="0"/>
        <w:jc w:val="both"/>
        <w:rPr>
          <w:b/>
        </w:rPr>
      </w:pPr>
      <w:r w:rsidRPr="006B4515">
        <w:rPr>
          <w:b/>
        </w:rPr>
        <w:t>6.2 Inwestycje w infrastrukturę zdrowotną:</w:t>
      </w:r>
    </w:p>
    <w:p w:rsidR="006B4515" w:rsidRPr="006B4515" w:rsidRDefault="006B4515" w:rsidP="003B2988">
      <w:pPr>
        <w:pStyle w:val="Akapitzlist"/>
        <w:ind w:left="0"/>
        <w:jc w:val="both"/>
        <w:rPr>
          <w:b/>
        </w:rPr>
      </w:pPr>
    </w:p>
    <w:p w:rsidR="00A23F33" w:rsidRPr="006B4515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w zakresie ICT (oprogramowanie, sprzęt), przekraczające 49% wartości całkowitych wydatków kwalifikowalnych projektu.</w:t>
      </w:r>
    </w:p>
    <w:p w:rsidR="00A23F33" w:rsidRPr="006B4515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 xml:space="preserve">Wydatki dot. ICT (oprogramowanie, sprzęt) w zakresie w jakim związane są z realizacją działań wskazanych w Narzędziu 26 Policy Paper tj. upowszechnienie wymiany elektronicznej dokumentacji medycznej oraz Narzędziu 27 Policy Paper tj. upowszechnienie wykorzystania </w:t>
      </w:r>
      <w:proofErr w:type="spellStart"/>
      <w:r w:rsidRPr="006B4515">
        <w:rPr>
          <w:rFonts w:eastAsia="Times New Roman" w:cs="Times New Roman"/>
        </w:rPr>
        <w:t>telemedycyny</w:t>
      </w:r>
      <w:proofErr w:type="spellEnd"/>
      <w:r w:rsidRPr="006B4515">
        <w:rPr>
          <w:rFonts w:eastAsia="Times New Roman" w:cs="Times New Roman"/>
        </w:rPr>
        <w:t xml:space="preserve">. </w:t>
      </w:r>
    </w:p>
    <w:p w:rsidR="00A23F33" w:rsidRPr="006B4515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związane z termomodernizacją, przekraczające 49% wartości całkowitych wydatków kwalifikowalnych projektu.</w:t>
      </w:r>
    </w:p>
    <w:p w:rsidR="00A23F33" w:rsidRPr="006B4515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na inwestycje polegające na dostosowaniu istniejącej infrastruktury do obowiązujących przepisów – chyba że ich realizacja jest uzasadniona z punktu widzenia poprawy efektywności (w tym kosztowej) i dostępu do świadczeń opieki zdrowotnej.</w:t>
      </w:r>
    </w:p>
    <w:p w:rsidR="00A23F33" w:rsidRPr="006B4515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na budowę i modernizację parkingów, dróg dojazdowych i wewnętrznych.</w:t>
      </w:r>
    </w:p>
    <w:p w:rsidR="00A23F33" w:rsidRPr="006B4515" w:rsidRDefault="00A23F33" w:rsidP="003B2988">
      <w:pPr>
        <w:pStyle w:val="Akapitzlist"/>
        <w:numPr>
          <w:ilvl w:val="0"/>
          <w:numId w:val="10"/>
        </w:numPr>
        <w:jc w:val="both"/>
      </w:pPr>
      <w:r w:rsidRPr="006B4515">
        <w:rPr>
          <w:rFonts w:eastAsia="Times New Roman" w:cs="Times New Roman"/>
        </w:rPr>
        <w:t xml:space="preserve">Wydatki związane z modernizacją i wyposażeniem części administracyjnej niezwiązanej z bezpośrednią obsługą pacjentów, z wyjątkiem projektów dotyczących zakupu i wdrożenia technologii informatyczno-komunikacyjnych. </w:t>
      </w:r>
    </w:p>
    <w:p w:rsidR="00A23F33" w:rsidRPr="006B4515" w:rsidRDefault="00A23F33" w:rsidP="003B2988">
      <w:pPr>
        <w:pStyle w:val="Akapitzlist"/>
        <w:numPr>
          <w:ilvl w:val="0"/>
          <w:numId w:val="10"/>
        </w:numPr>
        <w:jc w:val="both"/>
      </w:pPr>
      <w:r w:rsidRPr="006B4515">
        <w:rPr>
          <w:rFonts w:eastAsia="Times New Roman" w:cs="Times New Roman"/>
        </w:rPr>
        <w:t>Wydatki związane z zakupem sprzętu medycznego, na którym będą świadczone usługi medyczne odpłatne</w:t>
      </w:r>
      <w:r w:rsidRPr="006B4515">
        <w:t>, generujące przychód w projekcie.</w:t>
      </w:r>
    </w:p>
    <w:p w:rsidR="00A23F33" w:rsidRPr="006B4515" w:rsidRDefault="00A23F33" w:rsidP="003B2988">
      <w:pPr>
        <w:pStyle w:val="Akapitzlist"/>
        <w:numPr>
          <w:ilvl w:val="0"/>
          <w:numId w:val="10"/>
        </w:numPr>
        <w:jc w:val="both"/>
      </w:pPr>
      <w:r w:rsidRPr="006B4515">
        <w:t>Wydatki na zagospodarowanie otoczenia w zieleń i drobną architekturę.</w:t>
      </w:r>
    </w:p>
    <w:p w:rsidR="00A23F33" w:rsidRPr="006B4515" w:rsidRDefault="00A23F33" w:rsidP="003B2988">
      <w:pPr>
        <w:pStyle w:val="Akapitzlist"/>
        <w:numPr>
          <w:ilvl w:val="0"/>
          <w:numId w:val="10"/>
        </w:numPr>
        <w:jc w:val="both"/>
      </w:pPr>
      <w:r w:rsidRPr="006B4515">
        <w:t xml:space="preserve">Wydatki związane z pracami remontowo-budowlanymi  lub termomodernizacją, które nie są bezpośrednio i w całości związane z infrastrukturą przeznaczoną do udzielania świadczeń zdrowotnych w ramach poszczególnych narzędzi Policy Paper oraz/lub jednostek chorobowych określonych  w ogłoszeniu o naborze </w:t>
      </w:r>
      <w:r w:rsidR="00981291">
        <w:t>–</w:t>
      </w:r>
      <w:r w:rsidRPr="00981291">
        <w:t xml:space="preserve"> </w:t>
      </w:r>
      <w:r w:rsidRPr="006B4515">
        <w:rPr>
          <w:u w:val="single"/>
        </w:rPr>
        <w:t>szczegółowe uregulowania znajdą się w</w:t>
      </w:r>
      <w:r w:rsidR="00981291">
        <w:rPr>
          <w:u w:val="single"/>
        </w:rPr>
        <w:t> </w:t>
      </w:r>
      <w:r w:rsidRPr="006B4515">
        <w:rPr>
          <w:u w:val="single"/>
        </w:rPr>
        <w:t>regulaminach konkursów</w:t>
      </w:r>
      <w:r w:rsidRPr="006B4515">
        <w:t>.</w:t>
      </w:r>
    </w:p>
    <w:p w:rsidR="00A23F33" w:rsidRPr="006B4515" w:rsidRDefault="00A23F33" w:rsidP="003B2988">
      <w:pPr>
        <w:pStyle w:val="Akapitzlist"/>
        <w:numPr>
          <w:ilvl w:val="0"/>
          <w:numId w:val="10"/>
        </w:numPr>
        <w:jc w:val="both"/>
      </w:pPr>
      <w:r w:rsidRPr="006B4515">
        <w:t xml:space="preserve">Wydatki związane z zakupem oprogramowania i sprzętu IT, który to sprzęt nie jest bezpośrednio i w całości związany z zakresem wsparcia w ramach poszczególnych narzędzi Policy Paper oraz/lub jednostek chorobowych określonych  w ogłoszeniu o naborze </w:t>
      </w:r>
      <w:r w:rsidR="00981291">
        <w:t xml:space="preserve">– </w:t>
      </w:r>
      <w:r w:rsidRPr="006B4515">
        <w:rPr>
          <w:u w:val="single"/>
        </w:rPr>
        <w:t xml:space="preserve"> szczegółowe uregulowania znajdą się w regulaminach konkursów</w:t>
      </w:r>
      <w:r w:rsidRPr="006B4515">
        <w:t>.</w:t>
      </w:r>
    </w:p>
    <w:p w:rsidR="006B4515" w:rsidRPr="006B4515" w:rsidRDefault="006B4515" w:rsidP="003B2988">
      <w:pPr>
        <w:pStyle w:val="Akapitzlist"/>
        <w:jc w:val="both"/>
      </w:pPr>
    </w:p>
    <w:p w:rsidR="00A23F33" w:rsidRPr="006B4515" w:rsidRDefault="00A23F33" w:rsidP="003B2988">
      <w:pPr>
        <w:pStyle w:val="Akapitzlist"/>
        <w:ind w:left="0"/>
        <w:jc w:val="both"/>
        <w:rPr>
          <w:b/>
        </w:rPr>
      </w:pPr>
      <w:r w:rsidRPr="006B4515">
        <w:rPr>
          <w:b/>
        </w:rPr>
        <w:t>6.3 Rewitalizacja zdegradowanych obszarów:</w:t>
      </w:r>
    </w:p>
    <w:p w:rsidR="006B4515" w:rsidRPr="006B4515" w:rsidRDefault="006B4515" w:rsidP="003B2988">
      <w:pPr>
        <w:pStyle w:val="Akapitzlist"/>
        <w:ind w:left="0"/>
        <w:jc w:val="both"/>
        <w:rPr>
          <w:b/>
        </w:rPr>
      </w:pPr>
    </w:p>
    <w:p w:rsidR="00A23F33" w:rsidRPr="006B4515" w:rsidRDefault="00A23F33" w:rsidP="003B2988">
      <w:pPr>
        <w:pStyle w:val="Akapitzlist"/>
        <w:numPr>
          <w:ilvl w:val="0"/>
          <w:numId w:val="17"/>
        </w:numPr>
        <w:jc w:val="both"/>
        <w:rPr>
          <w:b/>
        </w:rPr>
      </w:pPr>
      <w:r w:rsidRPr="006B4515">
        <w:t>Wydatki na remont, odnowę części usługowej, produkcyjnej itp., związanej z prowadzeniem działalności gospodarczej we wspieranych w projekcie budynkach mieszkalnych (schemat 6.3</w:t>
      </w:r>
      <w:r w:rsidR="00981291">
        <w:t xml:space="preserve"> </w:t>
      </w:r>
      <w:r w:rsidRPr="006B4515">
        <w:t>B)</w:t>
      </w:r>
      <w:r w:rsidRPr="006B4515">
        <w:rPr>
          <w:vertAlign w:val="superscript"/>
        </w:rPr>
        <w:footnoteReference w:id="26"/>
      </w:r>
      <w:r w:rsidRPr="006B4515">
        <w:t>.</w:t>
      </w:r>
    </w:p>
    <w:p w:rsidR="00A23F33" w:rsidRPr="006B4515" w:rsidRDefault="00A23F33" w:rsidP="003B2988">
      <w:pPr>
        <w:pStyle w:val="Akapitzlist"/>
        <w:numPr>
          <w:ilvl w:val="0"/>
          <w:numId w:val="17"/>
        </w:numPr>
        <w:jc w:val="both"/>
        <w:rPr>
          <w:b/>
        </w:rPr>
      </w:pPr>
      <w:r w:rsidRPr="006B4515">
        <w:t>Wydatki na części związan</w:t>
      </w:r>
      <w:r w:rsidR="00D60F14">
        <w:t>e</w:t>
      </w:r>
      <w:r w:rsidRPr="006B4515">
        <w:t xml:space="preserve"> z prowadzeniem działalności administracyjnej we wspieranych w projekcie budynkach</w:t>
      </w:r>
      <w:r w:rsidR="00981291">
        <w:t xml:space="preserve">/obiektach </w:t>
      </w:r>
      <w:r w:rsidR="00981291" w:rsidRPr="006B4515">
        <w:t>(schemat 6.3</w:t>
      </w:r>
      <w:r w:rsidR="00981291">
        <w:t xml:space="preserve"> A i </w:t>
      </w:r>
      <w:r w:rsidR="00981291" w:rsidRPr="006B4515">
        <w:t>B)</w:t>
      </w:r>
      <w:r w:rsidRPr="006B4515">
        <w:rPr>
          <w:rStyle w:val="Odwoanieprzypisudolnego"/>
        </w:rPr>
        <w:footnoteReference w:id="27"/>
      </w:r>
      <w:r w:rsidRPr="006B4515">
        <w:t>.</w:t>
      </w:r>
    </w:p>
    <w:p w:rsidR="00A23F33" w:rsidRPr="006B4515" w:rsidRDefault="00A23F33" w:rsidP="003B2988">
      <w:pPr>
        <w:pStyle w:val="Akapitzlist"/>
        <w:numPr>
          <w:ilvl w:val="0"/>
          <w:numId w:val="17"/>
        </w:numPr>
        <w:jc w:val="both"/>
        <w:rPr>
          <w:b/>
        </w:rPr>
      </w:pPr>
      <w:r w:rsidRPr="006B4515">
        <w:t>Wydatki na uzbrojenie terenów inwestycyjnych</w:t>
      </w:r>
      <w:r w:rsidRPr="006B4515">
        <w:rPr>
          <w:rStyle w:val="Odwoanieprzypisudolnego"/>
        </w:rPr>
        <w:footnoteReference w:id="28"/>
      </w:r>
      <w:r w:rsidR="00981291">
        <w:t>.</w:t>
      </w:r>
    </w:p>
    <w:p w:rsidR="00A23F33" w:rsidRPr="006B4515" w:rsidRDefault="00A23F33" w:rsidP="003B2988">
      <w:pPr>
        <w:pStyle w:val="Akapitzlist"/>
        <w:numPr>
          <w:ilvl w:val="0"/>
          <w:numId w:val="17"/>
        </w:numPr>
        <w:jc w:val="both"/>
        <w:rPr>
          <w:b/>
        </w:rPr>
      </w:pPr>
      <w:r w:rsidRPr="006B4515">
        <w:t>Wydatki na termomodernizację przekraczające 49% wartości całkowitych wydatków kwalifikowalnych na pojedynczy budynek w projekcie.</w:t>
      </w:r>
    </w:p>
    <w:p w:rsidR="00A23F33" w:rsidRPr="006B4515" w:rsidRDefault="00A23F33" w:rsidP="003B2988">
      <w:pPr>
        <w:jc w:val="both"/>
        <w:rPr>
          <w:rFonts w:eastAsiaTheme="majorEastAsia" w:cstheme="majorBidi"/>
          <w:b/>
          <w:bCs/>
        </w:rPr>
      </w:pPr>
      <w:r w:rsidRPr="006B4515">
        <w:rPr>
          <w:b/>
        </w:rPr>
        <w:t>7.1</w:t>
      </w:r>
      <w:r w:rsidRPr="006B4515">
        <w:rPr>
          <w:rFonts w:eastAsiaTheme="majorEastAsia" w:cstheme="majorBidi"/>
          <w:b/>
          <w:bCs/>
        </w:rPr>
        <w:t xml:space="preserve"> Inwestycje w edukację przedszkolną, podstawową i gimnazjalną:</w:t>
      </w:r>
    </w:p>
    <w:p w:rsidR="00A23F33" w:rsidRPr="006B4515" w:rsidRDefault="00A23F33" w:rsidP="003B2988">
      <w:pPr>
        <w:pStyle w:val="Akapitzlist"/>
        <w:numPr>
          <w:ilvl w:val="0"/>
          <w:numId w:val="10"/>
        </w:numPr>
        <w:jc w:val="both"/>
        <w:rPr>
          <w:rFonts w:eastAsiaTheme="majorEastAsia" w:cstheme="majorBidi"/>
          <w:b/>
          <w:bCs/>
        </w:rPr>
      </w:pPr>
      <w:r w:rsidRPr="006B4515">
        <w:rPr>
          <w:rFonts w:eastAsia="Times New Roman" w:cs="Times New Roman"/>
        </w:rPr>
        <w:t xml:space="preserve">Wydatki związane z termomodernizacją przekraczające 49% wartości całkowitych wydatków kwalifikowalnych </w:t>
      </w:r>
      <w:r w:rsidRPr="006B4515">
        <w:t>na pojedynczy budynek w</w:t>
      </w:r>
      <w:r w:rsidRPr="006B4515">
        <w:rPr>
          <w:rFonts w:eastAsia="Times New Roman" w:cs="Times New Roman"/>
        </w:rPr>
        <w:t xml:space="preserve"> projekcie.</w:t>
      </w:r>
    </w:p>
    <w:p w:rsidR="00A23F33" w:rsidRPr="006B4515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związane z zakupem placów zabaw przekraczające 49% wartości całkowitych wydatków kwalifikowalnych projektu.</w:t>
      </w:r>
    </w:p>
    <w:p w:rsidR="00A23F33" w:rsidRPr="006B4515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dotyczące infrastruktury żłobków</w:t>
      </w:r>
      <w:r w:rsidRPr="006B4515">
        <w:rPr>
          <w:rStyle w:val="Odwoanieprzypisudolnego"/>
          <w:rFonts w:eastAsia="Times New Roman" w:cs="Times New Roman"/>
        </w:rPr>
        <w:footnoteReference w:id="29"/>
      </w:r>
      <w:r w:rsidRPr="006B4515">
        <w:rPr>
          <w:rFonts w:eastAsia="Times New Roman" w:cs="Times New Roman"/>
        </w:rPr>
        <w:t>.</w:t>
      </w:r>
    </w:p>
    <w:p w:rsidR="00A23F33" w:rsidRPr="006B4515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Koszty zagospodarowania terenu</w:t>
      </w:r>
      <w:r w:rsidRPr="006B4515">
        <w:rPr>
          <w:rStyle w:val="Odwoanieprzypisudolnego"/>
          <w:rFonts w:eastAsia="Times New Roman" w:cs="Times New Roman"/>
        </w:rPr>
        <w:footnoteReference w:id="30"/>
      </w:r>
      <w:r w:rsidRPr="006B4515">
        <w:rPr>
          <w:rFonts w:eastAsia="Times New Roman" w:cs="Times New Roman"/>
        </w:rPr>
        <w:t xml:space="preserve"> wokół przedszkoli, szkół i placówek oraz budowy dróg dojazdowych, wewnętrznych i parkingów.</w:t>
      </w:r>
    </w:p>
    <w:p w:rsidR="00A23F33" w:rsidRPr="006B4515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na infrastrukturę przedszkolną w przypadku naborów skierowanych do szkół</w:t>
      </w:r>
      <w:r w:rsidRPr="006B4515">
        <w:rPr>
          <w:rStyle w:val="Odwoanieprzypisudolnego"/>
          <w:rFonts w:eastAsia="Times New Roman" w:cs="Times New Roman"/>
        </w:rPr>
        <w:footnoteReference w:id="31"/>
      </w:r>
      <w:r w:rsidRPr="006B4515">
        <w:rPr>
          <w:rFonts w:eastAsia="Times New Roman" w:cs="Times New Roman"/>
        </w:rPr>
        <w:t>.</w:t>
      </w:r>
    </w:p>
    <w:p w:rsidR="00A23F33" w:rsidRPr="006B4515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na infrastrukturę szkolną w przypadku naborów skierowanych do przedszkoli</w:t>
      </w:r>
      <w:r w:rsidRPr="006B4515">
        <w:rPr>
          <w:rStyle w:val="Odwoanieprzypisudolnego"/>
          <w:rFonts w:eastAsia="Times New Roman" w:cs="Times New Roman"/>
        </w:rPr>
        <w:footnoteReference w:id="32"/>
      </w:r>
      <w:r w:rsidRPr="006B4515">
        <w:rPr>
          <w:rFonts w:eastAsia="Times New Roman" w:cs="Times New Roman"/>
        </w:rPr>
        <w:t>.</w:t>
      </w:r>
    </w:p>
    <w:p w:rsidR="00A23F33" w:rsidRPr="006B4515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na infrastrukturę szkół ponadgimnazjalnych</w:t>
      </w:r>
      <w:r w:rsidRPr="006B4515">
        <w:rPr>
          <w:rFonts w:eastAsia="Times New Roman" w:cs="Times New Roman"/>
          <w:vertAlign w:val="superscript"/>
        </w:rPr>
        <w:footnoteReference w:id="33"/>
      </w:r>
      <w:r w:rsidRPr="006B4515">
        <w:rPr>
          <w:rFonts w:eastAsia="Times New Roman" w:cs="Times New Roman"/>
        </w:rPr>
        <w:t>.</w:t>
      </w:r>
    </w:p>
    <w:p w:rsidR="00A23F33" w:rsidRDefault="00A23F33" w:rsidP="003B2988">
      <w:pPr>
        <w:pStyle w:val="Akapitzlist"/>
        <w:numPr>
          <w:ilvl w:val="0"/>
          <w:numId w:val="10"/>
        </w:numPr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na zakup używanych środków trwałych.</w:t>
      </w:r>
    </w:p>
    <w:p w:rsidR="00FA6BCC" w:rsidRDefault="00FA6BCC" w:rsidP="00FA6BCC">
      <w:pPr>
        <w:pStyle w:val="Akapitzlist"/>
        <w:numPr>
          <w:ilvl w:val="0"/>
          <w:numId w:val="10"/>
        </w:numPr>
        <w:rPr>
          <w:rFonts w:eastAsia="Times New Roman" w:cs="Times New Roman"/>
        </w:rPr>
      </w:pPr>
      <w:r>
        <w:rPr>
          <w:rFonts w:eastAsia="Times New Roman" w:cs="Times New Roman"/>
        </w:rPr>
        <w:t>Wydatki związane z wyposażeniem części administracyjnej</w:t>
      </w:r>
      <w:r w:rsidR="001E1928" w:rsidRPr="00BA0A54">
        <w:rPr>
          <w:rStyle w:val="Odwoanieprzypisudolnego"/>
          <w:rFonts w:eastAsia="Times New Roman" w:cs="Times New Roman"/>
          <w:b/>
        </w:rPr>
        <w:footnoteReference w:customMarkFollows="1" w:id="34"/>
        <w:sym w:font="Symbol" w:char="F02A"/>
      </w:r>
      <w:r w:rsidRPr="0001438D">
        <w:rPr>
          <w:rFonts w:eastAsia="Times New Roman" w:cs="Times New Roman"/>
        </w:rPr>
        <w:t>.</w:t>
      </w:r>
    </w:p>
    <w:p w:rsidR="00FA6BCC" w:rsidRPr="006B4515" w:rsidRDefault="00FA6BCC" w:rsidP="00FA6BCC">
      <w:pPr>
        <w:pStyle w:val="Akapitzlist"/>
        <w:jc w:val="both"/>
        <w:rPr>
          <w:rFonts w:eastAsia="Times New Roman" w:cs="Times New Roman"/>
        </w:rPr>
      </w:pPr>
    </w:p>
    <w:p w:rsidR="00A23F33" w:rsidRPr="006B4515" w:rsidRDefault="00A23F33" w:rsidP="003B2988">
      <w:pPr>
        <w:jc w:val="both"/>
        <w:rPr>
          <w:rFonts w:eastAsiaTheme="majorEastAsia" w:cstheme="majorBidi"/>
          <w:b/>
          <w:bCs/>
        </w:rPr>
      </w:pPr>
      <w:r w:rsidRPr="006B4515">
        <w:rPr>
          <w:b/>
        </w:rPr>
        <w:t>7.2</w:t>
      </w:r>
      <w:r w:rsidRPr="006B4515">
        <w:rPr>
          <w:rFonts w:eastAsiaTheme="majorEastAsia" w:cstheme="majorBidi"/>
          <w:b/>
          <w:bCs/>
        </w:rPr>
        <w:t xml:space="preserve"> Inwestycje w edukację ponadgimnazjalną, w tym zawodową:</w:t>
      </w:r>
    </w:p>
    <w:p w:rsidR="00A23F33" w:rsidRPr="006B4515" w:rsidRDefault="00A23F33" w:rsidP="003B2988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związane z termomodernizacją przekraczające 49% wartości całkowitych wydatków kwalifikowalnych projektu.</w:t>
      </w:r>
    </w:p>
    <w:p w:rsidR="00A23F33" w:rsidRPr="006B4515" w:rsidRDefault="00A23F33" w:rsidP="003B2988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ponoszone na infrastrukturę oraz zakup wyposażenia wykorzystywanego na potrzeby kształcenia ustawicznego.</w:t>
      </w:r>
    </w:p>
    <w:p w:rsidR="00A23F33" w:rsidRPr="006B4515" w:rsidRDefault="00A23F33" w:rsidP="003B2988">
      <w:pPr>
        <w:pStyle w:val="Akapitzlist"/>
        <w:numPr>
          <w:ilvl w:val="0"/>
          <w:numId w:val="9"/>
        </w:numPr>
        <w:spacing w:line="240" w:lineRule="auto"/>
        <w:jc w:val="both"/>
      </w:pPr>
      <w:r w:rsidRPr="006B4515">
        <w:rPr>
          <w:rFonts w:eastAsia="Times New Roman" w:cs="Times New Roman"/>
        </w:rPr>
        <w:t xml:space="preserve">Wydatki na infrastrukturę szkolnictwa ponadgimnazjalnego zawodowego </w:t>
      </w:r>
      <w:r w:rsidRPr="006B4515">
        <w:rPr>
          <w:rFonts w:eastAsia="Times New Roman" w:cs="Times New Roman"/>
        </w:rPr>
        <w:br/>
        <w:t>w przypadku naborów skierowanych do szkolnictwa ponadgimnazjalnego ogólnego</w:t>
      </w:r>
      <w:r w:rsidRPr="006B4515">
        <w:rPr>
          <w:rStyle w:val="Odwoanieprzypisudolnego"/>
        </w:rPr>
        <w:footnoteReference w:id="35"/>
      </w:r>
      <w:r w:rsidRPr="006B4515">
        <w:t>.</w:t>
      </w:r>
    </w:p>
    <w:p w:rsidR="00A23F33" w:rsidRPr="006B4515" w:rsidRDefault="00A23F33" w:rsidP="003B2988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na infrastrukturę szkolnictwa ponadgimnazjalnego ogólnego w przypadku naborów skierowanych do szkolnictwo ponadgimnazjalnego zawodowego</w:t>
      </w:r>
      <w:r w:rsidRPr="006B4515">
        <w:rPr>
          <w:rFonts w:eastAsia="Times New Roman" w:cs="Times New Roman"/>
          <w:vertAlign w:val="superscript"/>
        </w:rPr>
        <w:footnoteReference w:id="36"/>
      </w:r>
      <w:r w:rsidRPr="006B4515">
        <w:rPr>
          <w:rFonts w:eastAsia="Times New Roman" w:cs="Times New Roman"/>
        </w:rPr>
        <w:t>.</w:t>
      </w:r>
    </w:p>
    <w:p w:rsidR="00A23F33" w:rsidRPr="006B4515" w:rsidRDefault="00A23F33" w:rsidP="003B2988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ponoszone na budowę nowych obiektów nie służących praktycznej nauce zawodu oraz rozbudowę obiektów nie służących praktycznej nauce zawodu o budynki trwale nie połączone z istniejącym już obiektem.</w:t>
      </w:r>
    </w:p>
    <w:p w:rsidR="00A23F33" w:rsidRDefault="00A23F33" w:rsidP="003B2988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Koszty zagospodarowania terenu wokół szkół i placówek oraz budowa dróg dojazdowych, wewnętrznych i parkingów.</w:t>
      </w:r>
    </w:p>
    <w:p w:rsidR="00243F87" w:rsidRPr="00243F87" w:rsidRDefault="00243F87" w:rsidP="00243F87">
      <w:pPr>
        <w:pStyle w:val="Akapitzlist"/>
        <w:numPr>
          <w:ilvl w:val="0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>W</w:t>
      </w:r>
      <w:r w:rsidRPr="00A97ACB">
        <w:rPr>
          <w:rFonts w:eastAsia="Times New Roman" w:cs="Times New Roman"/>
        </w:rPr>
        <w:t>ydatki związane z wypos</w:t>
      </w:r>
      <w:r>
        <w:rPr>
          <w:rFonts w:eastAsia="Times New Roman" w:cs="Times New Roman"/>
        </w:rPr>
        <w:t>ażeniem części administracyjnej</w:t>
      </w:r>
      <w:r w:rsidR="001E1928" w:rsidRPr="00BA0A54">
        <w:rPr>
          <w:rStyle w:val="Odwoanieprzypisudolnego"/>
          <w:rFonts w:eastAsia="Times New Roman" w:cs="Times New Roman"/>
          <w:b/>
        </w:rPr>
        <w:footnoteReference w:customMarkFollows="1" w:id="37"/>
        <w:sym w:font="Symbol" w:char="F02A"/>
      </w:r>
      <w:r>
        <w:rPr>
          <w:rFonts w:eastAsia="Times New Roman" w:cs="Times New Roman"/>
        </w:rPr>
        <w:t>.</w:t>
      </w:r>
    </w:p>
    <w:p w:rsidR="00A23F33" w:rsidRPr="006B4515" w:rsidRDefault="00A23F33" w:rsidP="003B2988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</w:rPr>
      </w:pPr>
      <w:r w:rsidRPr="006B4515">
        <w:rPr>
          <w:rFonts w:eastAsia="Times New Roman" w:cs="Times New Roman"/>
        </w:rPr>
        <w:t>Wydatki na zakup używanych środków trwałych.</w:t>
      </w:r>
    </w:p>
    <w:p w:rsidR="00EA19D0" w:rsidRPr="006B4515" w:rsidRDefault="00EA19D0" w:rsidP="006B4515">
      <w:pPr>
        <w:tabs>
          <w:tab w:val="left" w:pos="5330"/>
        </w:tabs>
        <w:spacing w:line="240" w:lineRule="auto"/>
        <w:jc w:val="both"/>
        <w:rPr>
          <w:b/>
        </w:rPr>
      </w:pPr>
    </w:p>
    <w:sectPr w:rsidR="00EA19D0" w:rsidRPr="006B4515" w:rsidSect="001864C1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35C" w:rsidRDefault="0002135C" w:rsidP="00BA376B">
      <w:pPr>
        <w:spacing w:after="0" w:line="240" w:lineRule="auto"/>
      </w:pPr>
      <w:r>
        <w:separator/>
      </w:r>
    </w:p>
  </w:endnote>
  <w:endnote w:type="continuationSeparator" w:id="0">
    <w:p w:rsidR="0002135C" w:rsidRDefault="0002135C" w:rsidP="00BA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ABE920t0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43979"/>
      <w:docPartObj>
        <w:docPartGallery w:val="Page Numbers (Bottom of Page)"/>
        <w:docPartUnique/>
      </w:docPartObj>
    </w:sdtPr>
    <w:sdtEndPr/>
    <w:sdtContent>
      <w:p w:rsidR="0002135C" w:rsidRDefault="0039514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5B0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02135C" w:rsidRDefault="0002135C" w:rsidP="00DC41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35C" w:rsidRDefault="0002135C" w:rsidP="00BA376B">
      <w:pPr>
        <w:spacing w:after="0" w:line="240" w:lineRule="auto"/>
      </w:pPr>
      <w:r>
        <w:separator/>
      </w:r>
    </w:p>
  </w:footnote>
  <w:footnote w:type="continuationSeparator" w:id="0">
    <w:p w:rsidR="0002135C" w:rsidRDefault="0002135C" w:rsidP="00BA376B">
      <w:pPr>
        <w:spacing w:after="0" w:line="240" w:lineRule="auto"/>
      </w:pPr>
      <w:r>
        <w:continuationSeparator/>
      </w:r>
    </w:p>
  </w:footnote>
  <w:footnote w:id="1">
    <w:p w:rsidR="0002135C" w:rsidRDefault="000213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Należą do nich m.in. rozporządzenie Komisji (UE) nr 651/2014 z dnia 17 czerwca 2014 r. </w:t>
      </w:r>
      <w:r>
        <w:rPr>
          <w:i/>
          <w:iCs/>
          <w:sz w:val="16"/>
          <w:szCs w:val="16"/>
        </w:rPr>
        <w:t xml:space="preserve">uznające niektóre rodzaje pomocy za zgodne z rynkiem wewnętrznym w zastosowaniu art. 107 i 108 Traktatu </w:t>
      </w:r>
      <w:r>
        <w:rPr>
          <w:sz w:val="16"/>
          <w:szCs w:val="16"/>
        </w:rPr>
        <w:t xml:space="preserve">(Dz. Urz. UE L 187/1 z 26.6.2014, str. 1), rozporządzenie Parlamentu Europejskiego i Rady nr 1370/2007 z 23 października 2007 r. </w:t>
      </w:r>
      <w:r>
        <w:rPr>
          <w:i/>
          <w:iCs/>
          <w:sz w:val="16"/>
          <w:szCs w:val="16"/>
        </w:rPr>
        <w:t xml:space="preserve">dotyczące usług publicznych w zakresie kolejowego i drogowego transportu pasażerskiego oraz uchylające rozporządzenia Rady </w:t>
      </w:r>
      <w:r>
        <w:rPr>
          <w:sz w:val="16"/>
          <w:szCs w:val="16"/>
        </w:rPr>
        <w:t xml:space="preserve">(EWG) nr 1191/69 i (EWG) nr 1107/70 (Dz. Urz. L 315/1 z 3.12.2007, str. 1) oraz decyzja Komisji z 20 grudnia 2011 r. </w:t>
      </w:r>
      <w:r>
        <w:rPr>
          <w:i/>
          <w:iCs/>
          <w:sz w:val="16"/>
          <w:szCs w:val="16"/>
        </w:rPr>
        <w:t xml:space="preserve">w sprawie stosowania art. 106 ust. 2 Traktatu o funkcjonowaniu Unii Europejskiej do pomocy państwa w formie rekompensaty z tytułu świadczenia usług publicznych, przyznanej przedsiębiorstwom zobowiązanym do wykonywania usług świadczonych w ogólnym interesie gospodarczym </w:t>
      </w:r>
      <w:r>
        <w:rPr>
          <w:sz w:val="16"/>
          <w:szCs w:val="16"/>
        </w:rPr>
        <w:t xml:space="preserve">(Dz. Urz. UE L 7/3 z 11.1.2012, str. 3). </w:t>
      </w:r>
      <w:r>
        <w:t xml:space="preserve"> </w:t>
      </w:r>
    </w:p>
  </w:footnote>
  <w:footnote w:id="2">
    <w:p w:rsidR="0002135C" w:rsidRDefault="0002135C" w:rsidP="00A23F33">
      <w:pPr>
        <w:pStyle w:val="Tekstprzypisudolnego"/>
      </w:pPr>
      <w:r>
        <w:rPr>
          <w:rStyle w:val="Odwoanieprzypisudolnego"/>
        </w:rPr>
        <w:footnoteRef/>
      </w:r>
      <w:r>
        <w:t xml:space="preserve"> Termin umowa oznacza również inne dokumenty będące podstawą dofinansowania projektu, np. uchwałę czy porozumienie.</w:t>
      </w:r>
    </w:p>
  </w:footnote>
  <w:footnote w:id="3">
    <w:p w:rsidR="0002135C" w:rsidRDefault="0002135C" w:rsidP="00DC41A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Badania podstawowe – oryginalne prace badawcze eksperymentalne lub teoretyczne podejmowane przede wszystkim w celu zdobywania nowej wiedzy o podstawach zjawisk i obserwowalnych faktów bez nastawienia na bezpośrednie praktyczne zastosowanie lub użytkowanie (art. 2 pkt. 3)a) ustawy z dn. 30 kwietnia 2010 r. o zasadach finansowania nauki, tekst. jedn.: Dz. U. z 2014 r., poz. 1620 z późn. zm.).</w:t>
      </w:r>
    </w:p>
  </w:footnote>
  <w:footnote w:id="4">
    <w:p w:rsidR="0002135C" w:rsidRDefault="0002135C">
      <w:pPr>
        <w:pStyle w:val="Tekstprzypisudolnego"/>
      </w:pPr>
      <w:r w:rsidRPr="00972A3D">
        <w:rPr>
          <w:rStyle w:val="Odwoanieprzypisudolnego"/>
        </w:rPr>
        <w:sym w:font="Symbol" w:char="F02A"/>
      </w:r>
      <w:r>
        <w:t xml:space="preserve"> Dotyczy konkursów ogłoszonych po 16.01.2017 r.</w:t>
      </w:r>
    </w:p>
  </w:footnote>
  <w:footnote w:id="5">
    <w:p w:rsidR="0002135C" w:rsidRDefault="0002135C">
      <w:pPr>
        <w:pStyle w:val="Tekstprzypisudolnego"/>
      </w:pPr>
    </w:p>
  </w:footnote>
  <w:footnote w:id="6">
    <w:p w:rsidR="0002135C" w:rsidRDefault="0002135C">
      <w:pPr>
        <w:pStyle w:val="Tekstprzypisudolnego"/>
      </w:pPr>
    </w:p>
  </w:footnote>
  <w:footnote w:id="7">
    <w:p w:rsidR="0002135C" w:rsidRDefault="0002135C">
      <w:pPr>
        <w:pStyle w:val="Tekstprzypisudolnego"/>
      </w:pPr>
      <w:r w:rsidRPr="00972A3D">
        <w:rPr>
          <w:rStyle w:val="Odwoanieprzypisudolnego"/>
        </w:rPr>
        <w:sym w:font="Symbol" w:char="F02A"/>
      </w:r>
      <w:r>
        <w:t xml:space="preserve"> Dotyczy konkursów ogłoszonych po 16.01.2017 r.</w:t>
      </w:r>
    </w:p>
  </w:footnote>
  <w:footnote w:id="8">
    <w:p w:rsidR="0002135C" w:rsidRDefault="0002135C">
      <w:pPr>
        <w:pStyle w:val="Tekstprzypisudolnego"/>
      </w:pPr>
      <w:r w:rsidRPr="00972A3D">
        <w:rPr>
          <w:rStyle w:val="Odwoanieprzypisudolnego"/>
        </w:rPr>
        <w:sym w:font="Symbol" w:char="F02A"/>
      </w:r>
      <w:r>
        <w:t xml:space="preserve"> Dotyczy konkursów ogłoszonych po 16.01.2017 r.</w:t>
      </w:r>
    </w:p>
  </w:footnote>
  <w:footnote w:id="9">
    <w:p w:rsidR="0002135C" w:rsidRDefault="0002135C">
      <w:pPr>
        <w:pStyle w:val="Tekstprzypisudolnego"/>
      </w:pPr>
      <w:r w:rsidRPr="006E71A1">
        <w:rPr>
          <w:rStyle w:val="Odwoanieprzypisudolnego"/>
        </w:rPr>
        <w:sym w:font="Symbol" w:char="F02A"/>
      </w:r>
      <w:r>
        <w:t xml:space="preserve"> Dotyczy konkursów ogłoszonych po 16.01.2017 r.</w:t>
      </w:r>
    </w:p>
  </w:footnote>
  <w:footnote w:id="10">
    <w:p w:rsidR="0002135C" w:rsidRDefault="0002135C">
      <w:pPr>
        <w:pStyle w:val="Tekstprzypisudolnego"/>
      </w:pPr>
    </w:p>
  </w:footnote>
  <w:footnote w:id="11">
    <w:p w:rsidR="0002135C" w:rsidRDefault="0002135C">
      <w:pPr>
        <w:pStyle w:val="Tekstprzypisudolnego"/>
      </w:pPr>
    </w:p>
  </w:footnote>
  <w:footnote w:id="12">
    <w:p w:rsidR="00BA0A54" w:rsidRDefault="00BA0A54" w:rsidP="00BA0A54">
      <w:pPr>
        <w:pStyle w:val="Tekstprzypisudolnego"/>
      </w:pPr>
    </w:p>
  </w:footnote>
  <w:footnote w:id="13">
    <w:p w:rsidR="0002135C" w:rsidRDefault="0002135C" w:rsidP="002E2386">
      <w:pPr>
        <w:pStyle w:val="Tekstprzypisudolnego"/>
      </w:pPr>
      <w:r w:rsidRPr="006E71A1">
        <w:rPr>
          <w:rStyle w:val="Odwoanieprzypisudolnego"/>
        </w:rPr>
        <w:sym w:font="Symbol" w:char="F02A"/>
      </w:r>
      <w:r w:rsidRPr="006E71A1">
        <w:rPr>
          <w:rStyle w:val="Odwoanieprzypisudolnego"/>
        </w:rPr>
        <w:sym w:font="Symbol" w:char="F02A"/>
      </w:r>
      <w:r>
        <w:t xml:space="preserve"> Dla konkursów ogłoszonych przed 16.01.2017 r. – 50%.</w:t>
      </w:r>
    </w:p>
  </w:footnote>
  <w:footnote w:id="14">
    <w:p w:rsidR="0002135C" w:rsidRDefault="0002135C" w:rsidP="002E2386">
      <w:pPr>
        <w:pStyle w:val="Tekstprzypisudolnego"/>
      </w:pPr>
    </w:p>
  </w:footnote>
  <w:footnote w:id="15">
    <w:p w:rsidR="0002135C" w:rsidRDefault="0002135C">
      <w:pPr>
        <w:pStyle w:val="Tekstprzypisudolnego"/>
      </w:pPr>
    </w:p>
  </w:footnote>
  <w:footnote w:id="16">
    <w:p w:rsidR="0002135C" w:rsidRDefault="0002135C" w:rsidP="0001438D">
      <w:pPr>
        <w:pStyle w:val="Tekstprzypisudolnego"/>
      </w:pPr>
    </w:p>
  </w:footnote>
  <w:footnote w:id="17">
    <w:p w:rsidR="0002135C" w:rsidRDefault="0002135C" w:rsidP="0001438D">
      <w:pPr>
        <w:pStyle w:val="Tekstprzypisudolnego"/>
      </w:pPr>
    </w:p>
  </w:footnote>
  <w:footnote w:id="18">
    <w:p w:rsidR="0002135C" w:rsidRDefault="0002135C">
      <w:pPr>
        <w:pStyle w:val="Tekstprzypisudolnego"/>
      </w:pPr>
    </w:p>
  </w:footnote>
  <w:footnote w:id="19">
    <w:p w:rsidR="0002135C" w:rsidRDefault="0002135C" w:rsidP="00A23F3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 rozumieniu rozporządzenia Ministra Transportu i Gospodarki Morskiej z dn. 2 marca 1999 r. w sprawie warunków technicznych, jakim powinny odpowiadać drogi publiczne i ich usytuowanie.</w:t>
      </w:r>
    </w:p>
  </w:footnote>
  <w:footnote w:id="20">
    <w:p w:rsidR="0002135C" w:rsidRDefault="0002135C" w:rsidP="00A23F3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 rozumieniu rozporządzenia Ministra Transportu i Gospodarki Morskiej z dn. 2 marca 1999 r. w sprawie warunków technicznych, jakim powinny odpowiadać drogi publiczne i ich usytuowanie.</w:t>
      </w:r>
    </w:p>
  </w:footnote>
  <w:footnote w:id="21">
    <w:p w:rsidR="0002135C" w:rsidRDefault="0002135C" w:rsidP="00A23F3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 rozumieniu rozporządzenia Ministra Transportu i Gospodarki Morskiej z dn. 2 marca 1999 r. w sprawie warunków technicznych, jakim powinny odpowiadać drogi publiczne i ich usytuowanie.</w:t>
      </w:r>
    </w:p>
  </w:footnote>
  <w:footnote w:id="22">
    <w:p w:rsidR="0002135C" w:rsidRDefault="0002135C" w:rsidP="00A23F3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Wydatki kwalifikowalne nie obejmują wydatków ponoszonych na część związaną z prowadzeniem działalności administracyjnej. Dlatego należy określić procentowy udział powierzchni użytkowej związanej z prowadzeniem działalności administracyjnej w całkowitej powierzchni użytkowej budynku. Następnie należy wg uzyskanej proporcji obniżyć wydatki kwalifikowalne.</w:t>
      </w:r>
    </w:p>
  </w:footnote>
  <w:footnote w:id="23">
    <w:p w:rsidR="0002135C" w:rsidRDefault="0002135C" w:rsidP="00A23F3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Wydatki kwalifikowalne nie obejmują wydatków ponoszonych na część związaną z prowadzeniem działalności gospodarczej. Dlatego należy określić procentowy udział powierzchni użytkowej związanej z prowadzeniem działalności gospodarczej w całkowitej powierzchni użytkowej budynku. Następnie należy wg uzyskanej proporcji obniżyć wydatki kwalifikowalne.</w:t>
      </w:r>
    </w:p>
  </w:footnote>
  <w:footnote w:id="24">
    <w:p w:rsidR="0002135C" w:rsidRDefault="0002135C">
      <w:pPr>
        <w:pStyle w:val="Tekstprzypisudolnego"/>
      </w:pPr>
      <w:r>
        <w:rPr>
          <w:rStyle w:val="Odwoanieprzypisudolnego"/>
        </w:rPr>
        <w:t>*</w:t>
      </w:r>
      <w:r>
        <w:t xml:space="preserve"> Dotyczy konkursów ogłoszonych po 16.01.2017 r.</w:t>
      </w:r>
    </w:p>
  </w:footnote>
  <w:footnote w:id="25">
    <w:p w:rsidR="0002135C" w:rsidRPr="001C7384" w:rsidRDefault="0002135C" w:rsidP="00A23F3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A020B">
        <w:t xml:space="preserve">Wydatki kwalifikowalne nie obejmują wydatków ponoszonych na część związaną </w:t>
      </w:r>
      <w:r>
        <w:t>z infrastrukturą przedszkoli</w:t>
      </w:r>
      <w:r w:rsidRPr="007A020B">
        <w:t xml:space="preserve">. </w:t>
      </w:r>
      <w:r>
        <w:t>Jeśli W</w:t>
      </w:r>
      <w:r w:rsidRPr="001C7384">
        <w:t xml:space="preserve">nioskodawca nie ma możliwości wykazania kosztów w podziale na </w:t>
      </w:r>
      <w:r>
        <w:t>żłobek</w:t>
      </w:r>
      <w:r w:rsidRPr="001C7384">
        <w:t xml:space="preserve"> i przedszkole, należy określić procentowy udział powierzchni użytkowej związanej z prowadzeniem działalności przedszkolnej w całkowitej powierzchni użytkowej budynku. Następnie należy wg uzyskanej proporcji obniżyć wydatki kwalifikowalne.</w:t>
      </w:r>
    </w:p>
    <w:p w:rsidR="0002135C" w:rsidRDefault="0002135C" w:rsidP="00A23F33">
      <w:pPr>
        <w:pStyle w:val="Tekstprzypisudolnego"/>
        <w:jc w:val="both"/>
      </w:pPr>
    </w:p>
  </w:footnote>
  <w:footnote w:id="26">
    <w:p w:rsidR="0002135C" w:rsidRDefault="0002135C" w:rsidP="00A23F3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Wydatki kwalifikowalne nie obejmują wydatków ponoszonych na część związaną z prowadzeniem działalności gospodarczej. Dlatego należy określić procentowy udział powierzchni użytkowej związanej z prowadzeniem działalności gospodarczej w całkowitej powierzchni użytkowej budynku. Następnie należy wg uzyskanej proporcji obniżyć wydatki kwalifikowalne.</w:t>
      </w:r>
    </w:p>
  </w:footnote>
  <w:footnote w:id="27">
    <w:p w:rsidR="0002135C" w:rsidRDefault="0002135C" w:rsidP="00A23F3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Wydatki kwalifikowalne nie obejmują wydatków ponoszonych na część związaną z prowadzeniem działalności administracyjnej. Dlatego należy określić procentowy udział powierzchni użytkowej związanej z prowadzeniem działalności administracyjnej w całkowitej powierzchni użytkowej budynku. Następnie należy wg uzyskanej proporcji obniżyć wydatki kwalifikowalne.</w:t>
      </w:r>
    </w:p>
  </w:footnote>
  <w:footnote w:id="28">
    <w:p w:rsidR="0002135C" w:rsidRPr="0009655D" w:rsidRDefault="0002135C" w:rsidP="00A23F33">
      <w:pPr>
        <w:pStyle w:val="Tekstprzypisudolnego"/>
      </w:pPr>
      <w:r w:rsidRPr="0009655D">
        <w:rPr>
          <w:rStyle w:val="Odwoanieprzypisudolnego"/>
        </w:rPr>
        <w:footnoteRef/>
      </w:r>
      <w:r w:rsidRPr="0009655D">
        <w:t xml:space="preserve"> P</w:t>
      </w:r>
      <w:r w:rsidRPr="0009655D">
        <w:rPr>
          <w:rFonts w:ascii="Calibri" w:hAnsi="Calibri" w:cs="Arial"/>
        </w:rPr>
        <w:t xml:space="preserve">oprzez tereny inwestycyjne rozumie się </w:t>
      </w:r>
      <w:r w:rsidRPr="0009655D">
        <w:rPr>
          <w:rFonts w:ascii="Calibri" w:hAnsi="Calibri" w:cs="Arial"/>
          <w:bCs/>
        </w:rPr>
        <w:t>wyłącznie tereny przeznaczone pod prowadzenie działalności gospodarczej</w:t>
      </w:r>
      <w:r w:rsidRPr="0009655D">
        <w:rPr>
          <w:rFonts w:ascii="Calibri" w:hAnsi="Calibri" w:cs="Arial"/>
        </w:rPr>
        <w:t xml:space="preserve"> (np. mogą to być tereny inwestycyjne zlokalizowane w strefach ekonomicznych czy też oferowane przez gminy i przeznaczone w miejscowym planie zagospodarowania przestrzennego pod działalność gospodarczą, w tym usługi turystyczne).</w:t>
      </w:r>
    </w:p>
  </w:footnote>
  <w:footnote w:id="29">
    <w:p w:rsidR="0002135C" w:rsidRDefault="0002135C" w:rsidP="00A23F3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A020B">
        <w:t xml:space="preserve">Wydatki kwalifikowalne nie obejmują wydatków ponoszonych na część związaną </w:t>
      </w:r>
      <w:r>
        <w:t>z infrastrukturą żłobków</w:t>
      </w:r>
      <w:r w:rsidRPr="007A020B">
        <w:t xml:space="preserve">. </w:t>
      </w:r>
      <w:r>
        <w:t>Jeśli W</w:t>
      </w:r>
      <w:r w:rsidRPr="00104560">
        <w:t xml:space="preserve">nioskodawca nie ma możliwości wykazania kosztów w podziale na </w:t>
      </w:r>
      <w:r>
        <w:t>żłobek</w:t>
      </w:r>
      <w:r w:rsidRPr="00104560">
        <w:t xml:space="preserve"> i przedszkole</w:t>
      </w:r>
      <w:r>
        <w:t xml:space="preserve"> </w:t>
      </w:r>
      <w:r w:rsidRPr="007A020B">
        <w:t xml:space="preserve">należy określić procentowy udział powierzchni użytkowej związanej z prowadzeniem działalności </w:t>
      </w:r>
      <w:r>
        <w:t xml:space="preserve">żłobkowej </w:t>
      </w:r>
      <w:r w:rsidRPr="007A020B">
        <w:t>w całkowitej powierzchni użytkowej budynku. Następnie należy wg uzyskanej proporcji obniżyć wydatki kwalifikowalne.</w:t>
      </w:r>
    </w:p>
  </w:footnote>
  <w:footnote w:id="30">
    <w:p w:rsidR="0002135C" w:rsidRDefault="0002135C" w:rsidP="00A23F3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 w</w:t>
      </w:r>
      <w:r w:rsidRPr="003D737D">
        <w:t xml:space="preserve">yjątkiem </w:t>
      </w:r>
      <w:r>
        <w:t>zakupu</w:t>
      </w:r>
      <w:r w:rsidRPr="003D737D">
        <w:t xml:space="preserve"> placu zabaw</w:t>
      </w:r>
    </w:p>
  </w:footnote>
  <w:footnote w:id="31">
    <w:p w:rsidR="0002135C" w:rsidRDefault="0002135C" w:rsidP="00A23F3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D08B5">
        <w:t xml:space="preserve">Wydatki kwalifikowalne nie obejmują wydatków ponoszonych na część związaną z infrastrukturą </w:t>
      </w:r>
      <w:r>
        <w:t>przedszkoli</w:t>
      </w:r>
      <w:r w:rsidRPr="008D08B5">
        <w:t xml:space="preserve">. </w:t>
      </w:r>
      <w:r>
        <w:t>Jeśli W</w:t>
      </w:r>
      <w:r w:rsidRPr="00104560">
        <w:t>nioskodawca nie ma możliwości wykazania kosztów w podziale na szkołę i przedszkole</w:t>
      </w:r>
      <w:r>
        <w:t xml:space="preserve"> </w:t>
      </w:r>
      <w:r w:rsidRPr="008D08B5">
        <w:t xml:space="preserve">należy określić procentowy udział powierzchni użytkowej związanej z prowadzeniem działalności </w:t>
      </w:r>
      <w:r>
        <w:t>przedszkolnej</w:t>
      </w:r>
      <w:r w:rsidRPr="008D08B5">
        <w:t xml:space="preserve"> w całkowitej powierzchni użytkowej budynku. Następnie należy wg uzyskanej proporcji obniżyć wydatki kwalifikowalne.</w:t>
      </w:r>
    </w:p>
  </w:footnote>
  <w:footnote w:id="32">
    <w:p w:rsidR="0002135C" w:rsidRDefault="0002135C" w:rsidP="00A23F3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75D63">
        <w:t xml:space="preserve">Wydatki kwalifikowalne nie obejmują wydatków ponoszonych na część związaną z infrastrukturą </w:t>
      </w:r>
      <w:r>
        <w:t>szkół</w:t>
      </w:r>
      <w:r w:rsidRPr="00B75D63">
        <w:t xml:space="preserve">. </w:t>
      </w:r>
      <w:r>
        <w:t>Jeśli W</w:t>
      </w:r>
      <w:r w:rsidRPr="00104560">
        <w:t>nioskodawca nie ma możliwości wykazania kosztów w podziale na szkołę i przedszkole</w:t>
      </w:r>
      <w:r>
        <w:t xml:space="preserve"> </w:t>
      </w:r>
      <w:r w:rsidRPr="00B75D63">
        <w:t xml:space="preserve">należy określić procentowy udział powierzchni użytkowej związanej z prowadzeniem działalności </w:t>
      </w:r>
      <w:r>
        <w:t>szkół</w:t>
      </w:r>
      <w:r w:rsidRPr="00B75D63">
        <w:t xml:space="preserve"> w całkowitej powierzchni użytkowej budynku. Następnie należy wg uzyskanej proporcji obniżyć wydatki kwalifikowalne.</w:t>
      </w:r>
    </w:p>
  </w:footnote>
  <w:footnote w:id="33">
    <w:p w:rsidR="0002135C" w:rsidRPr="0009655D" w:rsidRDefault="0002135C" w:rsidP="00A23F33">
      <w:pPr>
        <w:pStyle w:val="Tekstprzypisudolnego"/>
        <w:jc w:val="both"/>
      </w:pPr>
      <w:r w:rsidRPr="0009655D">
        <w:rPr>
          <w:rStyle w:val="Odwoanieprzypisudolnego"/>
          <w:color w:val="000000" w:themeColor="text1"/>
        </w:rPr>
        <w:footnoteRef/>
      </w:r>
      <w:r w:rsidRPr="0009655D">
        <w:rPr>
          <w:color w:val="000000" w:themeColor="text1"/>
        </w:rPr>
        <w:t xml:space="preserve"> Wydatki kwalifikowalne nie obejmują wydatków ponoszonych na część związaną z infrastrukturą s</w:t>
      </w:r>
      <w:r>
        <w:rPr>
          <w:color w:val="000000" w:themeColor="text1"/>
        </w:rPr>
        <w:t>zkół ponadgimnazjalnych. Jeśli W</w:t>
      </w:r>
      <w:r w:rsidRPr="0009655D">
        <w:rPr>
          <w:color w:val="000000" w:themeColor="text1"/>
        </w:rPr>
        <w:t>nioskodawca nie ma możliwości wykazania kosztów w podziale na szkołę podstawową/gimnazjum i szkołę ponadgimnazjalną  należy</w:t>
      </w:r>
      <w:r w:rsidRPr="0009655D">
        <w:rPr>
          <w:color w:val="000000" w:themeColor="text1"/>
          <w:sz w:val="16"/>
          <w:szCs w:val="16"/>
        </w:rPr>
        <w:t xml:space="preserve"> </w:t>
      </w:r>
      <w:r w:rsidRPr="0009655D">
        <w:t xml:space="preserve">określić procentowy udział powierzchni użytkowej związanej z prowadzeniem działalności szkoły ponadgimnazjalnej w całkowitej powierzchni użytkowej budynku. Następnie należy wg uzyskanej proporcji obniżyć wydatki kwalifikowalne.  </w:t>
      </w:r>
    </w:p>
  </w:footnote>
  <w:footnote w:id="34">
    <w:p w:rsidR="0002135C" w:rsidRDefault="0002135C">
      <w:pPr>
        <w:pStyle w:val="Tekstprzypisudolnego"/>
      </w:pPr>
      <w:r w:rsidRPr="0001438D">
        <w:rPr>
          <w:rStyle w:val="Odwoanieprzypisudolnego"/>
        </w:rPr>
        <w:sym w:font="Symbol" w:char="F02A"/>
      </w:r>
      <w:r>
        <w:t xml:space="preserve"> Dotyczy konkursów ogłoszonych po 16.01.2017 r.</w:t>
      </w:r>
    </w:p>
  </w:footnote>
  <w:footnote w:id="35">
    <w:p w:rsidR="0002135C" w:rsidRPr="0009655D" w:rsidRDefault="0002135C" w:rsidP="00A23F33">
      <w:pPr>
        <w:pStyle w:val="Tekstprzypisudolnego"/>
        <w:jc w:val="both"/>
      </w:pPr>
      <w:r w:rsidRPr="0009655D">
        <w:rPr>
          <w:rStyle w:val="Odwoanieprzypisudolnego"/>
        </w:rPr>
        <w:footnoteRef/>
      </w:r>
      <w:r w:rsidRPr="0009655D">
        <w:t xml:space="preserve"> Wydatki kwalifikowalne nie obejmują wydatków ponoszonych na część związaną z infrastrukturą szkół ponadg</w:t>
      </w:r>
      <w:r>
        <w:t>imnazjalnych zawodowych. Jeśli W</w:t>
      </w:r>
      <w:r w:rsidRPr="0009655D">
        <w:t xml:space="preserve">nioskodawca nie ma możliwości wykazania kosztów w podziale na  szkołę ponadgimnazjalną zawodową/szkołę ponadgimnazjalną ogólną  należy określić procentowy udział powierzchni użytkowej związanej z prowadzeniem działalności szkoły ponadgimnazjalnej zawodowej w całkowitej powierzchni użytkowej budynku. Następnie należy wg uzyskanej proporcji obniżyć wydatki kwalifikowalne.  </w:t>
      </w:r>
    </w:p>
  </w:footnote>
  <w:footnote w:id="36">
    <w:p w:rsidR="0002135C" w:rsidRDefault="0002135C" w:rsidP="00A23F33">
      <w:pPr>
        <w:pStyle w:val="Tekstprzypisudolnego"/>
        <w:jc w:val="both"/>
      </w:pPr>
      <w:r w:rsidRPr="0009655D">
        <w:rPr>
          <w:rStyle w:val="Odwoanieprzypisudolnego"/>
        </w:rPr>
        <w:footnoteRef/>
      </w:r>
      <w:r w:rsidRPr="0009655D">
        <w:t xml:space="preserve"> Wydatki kwalifikowalne nie obejmują wydatków ponoszonych na część związaną z infrastrukturą szkół pona</w:t>
      </w:r>
      <w:r>
        <w:t>dgimnazjalnych ogólnych. Jeśli W</w:t>
      </w:r>
      <w:r w:rsidRPr="0009655D">
        <w:t>nioskodawca nie ma możliwości wykazania kosztów w podziale na  szkołę ponadgimnazjalną zawodową/szkołę ponadgimnazjalną ogólną  należy określić procentowy udział powierzchni użytkowej związanej z prowadzeniem działalności szkoły ponadgimnazjalnej ogólnej w całkowitej powierzchni użytkowej budynku. Następnie należy wg uzyskanej proporcji obniżyć wydatki kwalifikowalne.</w:t>
      </w:r>
    </w:p>
  </w:footnote>
  <w:footnote w:id="37">
    <w:p w:rsidR="0002135C" w:rsidRDefault="0002135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922"/>
    <w:multiLevelType w:val="hybridMultilevel"/>
    <w:tmpl w:val="63564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2784"/>
    <w:multiLevelType w:val="hybridMultilevel"/>
    <w:tmpl w:val="A1862C52"/>
    <w:lvl w:ilvl="0" w:tplc="496AEAC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502850"/>
    <w:multiLevelType w:val="hybridMultilevel"/>
    <w:tmpl w:val="7D0E0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B3BEA"/>
    <w:multiLevelType w:val="multilevel"/>
    <w:tmpl w:val="863AF3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2B62880"/>
    <w:multiLevelType w:val="hybridMultilevel"/>
    <w:tmpl w:val="01D6C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37700E"/>
    <w:multiLevelType w:val="hybridMultilevel"/>
    <w:tmpl w:val="1BC8510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043C2E9E"/>
    <w:multiLevelType w:val="hybridMultilevel"/>
    <w:tmpl w:val="9092B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778EF"/>
    <w:multiLevelType w:val="hybridMultilevel"/>
    <w:tmpl w:val="599E6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24C0F"/>
    <w:multiLevelType w:val="hybridMultilevel"/>
    <w:tmpl w:val="4EE61E24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CF7663"/>
    <w:multiLevelType w:val="hybridMultilevel"/>
    <w:tmpl w:val="0980E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F49C7"/>
    <w:multiLevelType w:val="hybridMultilevel"/>
    <w:tmpl w:val="4D8E95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1E1B3F"/>
    <w:multiLevelType w:val="hybridMultilevel"/>
    <w:tmpl w:val="D9B46634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3F4D7C"/>
    <w:multiLevelType w:val="hybridMultilevel"/>
    <w:tmpl w:val="867A778A"/>
    <w:lvl w:ilvl="0" w:tplc="F08E18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E30F5"/>
    <w:multiLevelType w:val="hybridMultilevel"/>
    <w:tmpl w:val="EBCC6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F2E43"/>
    <w:multiLevelType w:val="hybridMultilevel"/>
    <w:tmpl w:val="FAA2B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B3484"/>
    <w:multiLevelType w:val="hybridMultilevel"/>
    <w:tmpl w:val="ECA2B130"/>
    <w:lvl w:ilvl="0" w:tplc="7884E90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75ADB"/>
    <w:multiLevelType w:val="hybridMultilevel"/>
    <w:tmpl w:val="A16AF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92CAE"/>
    <w:multiLevelType w:val="hybridMultilevel"/>
    <w:tmpl w:val="B3C86D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B74EF6"/>
    <w:multiLevelType w:val="hybridMultilevel"/>
    <w:tmpl w:val="9092B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A0A62"/>
    <w:multiLevelType w:val="hybridMultilevel"/>
    <w:tmpl w:val="54629BE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0F7EFC"/>
    <w:multiLevelType w:val="hybridMultilevel"/>
    <w:tmpl w:val="B1521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830AD"/>
    <w:multiLevelType w:val="hybridMultilevel"/>
    <w:tmpl w:val="35D0F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D530A"/>
    <w:multiLevelType w:val="hybridMultilevel"/>
    <w:tmpl w:val="B5924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D1F17"/>
    <w:multiLevelType w:val="hybridMultilevel"/>
    <w:tmpl w:val="D1ECCC1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1B42B8A"/>
    <w:multiLevelType w:val="hybridMultilevel"/>
    <w:tmpl w:val="47D06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907F4"/>
    <w:multiLevelType w:val="hybridMultilevel"/>
    <w:tmpl w:val="9092B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63BE6"/>
    <w:multiLevelType w:val="hybridMultilevel"/>
    <w:tmpl w:val="30D83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674E9"/>
    <w:multiLevelType w:val="hybridMultilevel"/>
    <w:tmpl w:val="D5885F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8931EF"/>
    <w:multiLevelType w:val="hybridMultilevel"/>
    <w:tmpl w:val="CE0E790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BCE3B2B"/>
    <w:multiLevelType w:val="hybridMultilevel"/>
    <w:tmpl w:val="5E3C9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77B6B"/>
    <w:multiLevelType w:val="hybridMultilevel"/>
    <w:tmpl w:val="F40CF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3732A"/>
    <w:multiLevelType w:val="hybridMultilevel"/>
    <w:tmpl w:val="E0F2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13FB0"/>
    <w:multiLevelType w:val="hybridMultilevel"/>
    <w:tmpl w:val="27323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C0153"/>
    <w:multiLevelType w:val="hybridMultilevel"/>
    <w:tmpl w:val="A2CAB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D0D56"/>
    <w:multiLevelType w:val="hybridMultilevel"/>
    <w:tmpl w:val="BEEC10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2C78A9"/>
    <w:multiLevelType w:val="hybridMultilevel"/>
    <w:tmpl w:val="95323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1122A"/>
    <w:multiLevelType w:val="hybridMultilevel"/>
    <w:tmpl w:val="05C22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A5969"/>
    <w:multiLevelType w:val="hybridMultilevel"/>
    <w:tmpl w:val="D7C2E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419E6"/>
    <w:multiLevelType w:val="hybridMultilevel"/>
    <w:tmpl w:val="05505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6"/>
  </w:num>
  <w:num w:numId="4">
    <w:abstractNumId w:val="18"/>
  </w:num>
  <w:num w:numId="5">
    <w:abstractNumId w:val="8"/>
  </w:num>
  <w:num w:numId="6">
    <w:abstractNumId w:val="32"/>
  </w:num>
  <w:num w:numId="7">
    <w:abstractNumId w:val="10"/>
  </w:num>
  <w:num w:numId="8">
    <w:abstractNumId w:val="16"/>
  </w:num>
  <w:num w:numId="9">
    <w:abstractNumId w:val="7"/>
  </w:num>
  <w:num w:numId="10">
    <w:abstractNumId w:val="4"/>
  </w:num>
  <w:num w:numId="11">
    <w:abstractNumId w:val="20"/>
  </w:num>
  <w:num w:numId="12">
    <w:abstractNumId w:val="2"/>
  </w:num>
  <w:num w:numId="13">
    <w:abstractNumId w:val="14"/>
  </w:num>
  <w:num w:numId="14">
    <w:abstractNumId w:val="38"/>
  </w:num>
  <w:num w:numId="15">
    <w:abstractNumId w:val="24"/>
  </w:num>
  <w:num w:numId="16">
    <w:abstractNumId w:val="22"/>
  </w:num>
  <w:num w:numId="17">
    <w:abstractNumId w:val="21"/>
  </w:num>
  <w:num w:numId="18">
    <w:abstractNumId w:val="35"/>
  </w:num>
  <w:num w:numId="19">
    <w:abstractNumId w:val="13"/>
  </w:num>
  <w:num w:numId="20">
    <w:abstractNumId w:val="28"/>
  </w:num>
  <w:num w:numId="21">
    <w:abstractNumId w:val="33"/>
  </w:num>
  <w:num w:numId="22">
    <w:abstractNumId w:val="30"/>
  </w:num>
  <w:num w:numId="23">
    <w:abstractNumId w:val="36"/>
  </w:num>
  <w:num w:numId="24">
    <w:abstractNumId w:val="23"/>
  </w:num>
  <w:num w:numId="25">
    <w:abstractNumId w:val="37"/>
  </w:num>
  <w:num w:numId="26">
    <w:abstractNumId w:val="19"/>
  </w:num>
  <w:num w:numId="27">
    <w:abstractNumId w:val="31"/>
  </w:num>
  <w:num w:numId="28">
    <w:abstractNumId w:val="29"/>
  </w:num>
  <w:num w:numId="29">
    <w:abstractNumId w:val="9"/>
  </w:num>
  <w:num w:numId="30">
    <w:abstractNumId w:val="5"/>
  </w:num>
  <w:num w:numId="31">
    <w:abstractNumId w:val="27"/>
  </w:num>
  <w:num w:numId="32">
    <w:abstractNumId w:val="17"/>
  </w:num>
  <w:num w:numId="33">
    <w:abstractNumId w:val="34"/>
  </w:num>
  <w:num w:numId="34">
    <w:abstractNumId w:val="11"/>
  </w:num>
  <w:num w:numId="35">
    <w:abstractNumId w:val="12"/>
  </w:num>
  <w:num w:numId="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5"/>
  </w:num>
  <w:num w:numId="39">
    <w:abstractNumId w:val="1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6B"/>
    <w:rsid w:val="00004C9E"/>
    <w:rsid w:val="00006885"/>
    <w:rsid w:val="00011EB2"/>
    <w:rsid w:val="0001438D"/>
    <w:rsid w:val="0002135C"/>
    <w:rsid w:val="0003417B"/>
    <w:rsid w:val="0003532D"/>
    <w:rsid w:val="00083CEF"/>
    <w:rsid w:val="00084C67"/>
    <w:rsid w:val="0008638F"/>
    <w:rsid w:val="000C3A67"/>
    <w:rsid w:val="000D0C61"/>
    <w:rsid w:val="000E7698"/>
    <w:rsid w:val="000F001B"/>
    <w:rsid w:val="000F49C6"/>
    <w:rsid w:val="00103C88"/>
    <w:rsid w:val="001213D3"/>
    <w:rsid w:val="00122E9E"/>
    <w:rsid w:val="00133D89"/>
    <w:rsid w:val="00145381"/>
    <w:rsid w:val="00146477"/>
    <w:rsid w:val="00170946"/>
    <w:rsid w:val="00171D56"/>
    <w:rsid w:val="00176EB7"/>
    <w:rsid w:val="001776F9"/>
    <w:rsid w:val="001802C5"/>
    <w:rsid w:val="0018241A"/>
    <w:rsid w:val="001864C1"/>
    <w:rsid w:val="001B53D6"/>
    <w:rsid w:val="001B56C8"/>
    <w:rsid w:val="001D4A2D"/>
    <w:rsid w:val="001E1928"/>
    <w:rsid w:val="001E33E2"/>
    <w:rsid w:val="001F2B8F"/>
    <w:rsid w:val="001F7D9D"/>
    <w:rsid w:val="0020153F"/>
    <w:rsid w:val="002160BC"/>
    <w:rsid w:val="00243F87"/>
    <w:rsid w:val="002464C4"/>
    <w:rsid w:val="0025620F"/>
    <w:rsid w:val="00261786"/>
    <w:rsid w:val="002618A4"/>
    <w:rsid w:val="00262CBA"/>
    <w:rsid w:val="00267983"/>
    <w:rsid w:val="002800FC"/>
    <w:rsid w:val="002A1E9F"/>
    <w:rsid w:val="002C5B11"/>
    <w:rsid w:val="002E0308"/>
    <w:rsid w:val="002E2386"/>
    <w:rsid w:val="002E2DC5"/>
    <w:rsid w:val="002E4C4C"/>
    <w:rsid w:val="002F2152"/>
    <w:rsid w:val="00300834"/>
    <w:rsid w:val="003128AA"/>
    <w:rsid w:val="003260E2"/>
    <w:rsid w:val="0033048A"/>
    <w:rsid w:val="0033340B"/>
    <w:rsid w:val="003463E9"/>
    <w:rsid w:val="00352F66"/>
    <w:rsid w:val="0035767B"/>
    <w:rsid w:val="00370D86"/>
    <w:rsid w:val="00384A7D"/>
    <w:rsid w:val="003865F7"/>
    <w:rsid w:val="003878D6"/>
    <w:rsid w:val="0039514F"/>
    <w:rsid w:val="003A2CB6"/>
    <w:rsid w:val="003B2988"/>
    <w:rsid w:val="003F0BE3"/>
    <w:rsid w:val="003F3E56"/>
    <w:rsid w:val="0040430E"/>
    <w:rsid w:val="00405F6A"/>
    <w:rsid w:val="00420900"/>
    <w:rsid w:val="00431815"/>
    <w:rsid w:val="00437EDB"/>
    <w:rsid w:val="00440827"/>
    <w:rsid w:val="0044751A"/>
    <w:rsid w:val="00454E85"/>
    <w:rsid w:val="00480147"/>
    <w:rsid w:val="0048731C"/>
    <w:rsid w:val="004971D5"/>
    <w:rsid w:val="00497328"/>
    <w:rsid w:val="004A2A2C"/>
    <w:rsid w:val="004E5DB2"/>
    <w:rsid w:val="005100D3"/>
    <w:rsid w:val="00513F17"/>
    <w:rsid w:val="00523226"/>
    <w:rsid w:val="00543FDD"/>
    <w:rsid w:val="00550BB3"/>
    <w:rsid w:val="005514D5"/>
    <w:rsid w:val="00564B2E"/>
    <w:rsid w:val="005713F9"/>
    <w:rsid w:val="00572698"/>
    <w:rsid w:val="005A05C2"/>
    <w:rsid w:val="005A0BE6"/>
    <w:rsid w:val="005A1C33"/>
    <w:rsid w:val="005A2AD0"/>
    <w:rsid w:val="005C4AA9"/>
    <w:rsid w:val="005E0959"/>
    <w:rsid w:val="005E77EA"/>
    <w:rsid w:val="006322F0"/>
    <w:rsid w:val="0065628C"/>
    <w:rsid w:val="00672D78"/>
    <w:rsid w:val="00673263"/>
    <w:rsid w:val="006740FC"/>
    <w:rsid w:val="006902BC"/>
    <w:rsid w:val="00694CDD"/>
    <w:rsid w:val="006A104F"/>
    <w:rsid w:val="006B4515"/>
    <w:rsid w:val="006C1838"/>
    <w:rsid w:val="006D6172"/>
    <w:rsid w:val="006D7B9D"/>
    <w:rsid w:val="006E71A1"/>
    <w:rsid w:val="00703141"/>
    <w:rsid w:val="00704FC5"/>
    <w:rsid w:val="00740D87"/>
    <w:rsid w:val="00743091"/>
    <w:rsid w:val="00771350"/>
    <w:rsid w:val="00776AD7"/>
    <w:rsid w:val="0079275E"/>
    <w:rsid w:val="007C4FA3"/>
    <w:rsid w:val="007C6813"/>
    <w:rsid w:val="007D41C6"/>
    <w:rsid w:val="0080714A"/>
    <w:rsid w:val="00821267"/>
    <w:rsid w:val="0082525C"/>
    <w:rsid w:val="00854498"/>
    <w:rsid w:val="0085656D"/>
    <w:rsid w:val="00856BC5"/>
    <w:rsid w:val="00857AC0"/>
    <w:rsid w:val="00870C75"/>
    <w:rsid w:val="00894767"/>
    <w:rsid w:val="008A114E"/>
    <w:rsid w:val="008C40DC"/>
    <w:rsid w:val="008C55F5"/>
    <w:rsid w:val="008D303E"/>
    <w:rsid w:val="008E069B"/>
    <w:rsid w:val="008E5643"/>
    <w:rsid w:val="008F27E5"/>
    <w:rsid w:val="008F7051"/>
    <w:rsid w:val="0091649D"/>
    <w:rsid w:val="009178E4"/>
    <w:rsid w:val="00921C21"/>
    <w:rsid w:val="00922EE0"/>
    <w:rsid w:val="009261C8"/>
    <w:rsid w:val="009265A0"/>
    <w:rsid w:val="00954E4C"/>
    <w:rsid w:val="00956FC8"/>
    <w:rsid w:val="00961B4A"/>
    <w:rsid w:val="00972A3D"/>
    <w:rsid w:val="00975738"/>
    <w:rsid w:val="00981291"/>
    <w:rsid w:val="009962EA"/>
    <w:rsid w:val="009964AC"/>
    <w:rsid w:val="009A053B"/>
    <w:rsid w:val="009B3E6D"/>
    <w:rsid w:val="009D79D3"/>
    <w:rsid w:val="009F4425"/>
    <w:rsid w:val="009F5B41"/>
    <w:rsid w:val="009F7CF2"/>
    <w:rsid w:val="00A01EB2"/>
    <w:rsid w:val="00A031B5"/>
    <w:rsid w:val="00A055C8"/>
    <w:rsid w:val="00A070D7"/>
    <w:rsid w:val="00A072EE"/>
    <w:rsid w:val="00A12DBF"/>
    <w:rsid w:val="00A2094C"/>
    <w:rsid w:val="00A23F33"/>
    <w:rsid w:val="00A326B2"/>
    <w:rsid w:val="00A37FB6"/>
    <w:rsid w:val="00A41909"/>
    <w:rsid w:val="00A55E66"/>
    <w:rsid w:val="00A67324"/>
    <w:rsid w:val="00A70007"/>
    <w:rsid w:val="00AA1384"/>
    <w:rsid w:val="00AD459A"/>
    <w:rsid w:val="00AE3F41"/>
    <w:rsid w:val="00B37DFD"/>
    <w:rsid w:val="00B46DBB"/>
    <w:rsid w:val="00B73188"/>
    <w:rsid w:val="00B75AFB"/>
    <w:rsid w:val="00B779C7"/>
    <w:rsid w:val="00BA0A54"/>
    <w:rsid w:val="00BA376B"/>
    <w:rsid w:val="00BA69A3"/>
    <w:rsid w:val="00BB6C1F"/>
    <w:rsid w:val="00BF6BA2"/>
    <w:rsid w:val="00BF7A1E"/>
    <w:rsid w:val="00C10F6C"/>
    <w:rsid w:val="00C1514B"/>
    <w:rsid w:val="00C34307"/>
    <w:rsid w:val="00C569B0"/>
    <w:rsid w:val="00C7490E"/>
    <w:rsid w:val="00C878CC"/>
    <w:rsid w:val="00C92E90"/>
    <w:rsid w:val="00C963D4"/>
    <w:rsid w:val="00CA154F"/>
    <w:rsid w:val="00CA7C2D"/>
    <w:rsid w:val="00CF14EF"/>
    <w:rsid w:val="00D22318"/>
    <w:rsid w:val="00D34FFF"/>
    <w:rsid w:val="00D434AA"/>
    <w:rsid w:val="00D44C64"/>
    <w:rsid w:val="00D44C8D"/>
    <w:rsid w:val="00D57423"/>
    <w:rsid w:val="00D57F01"/>
    <w:rsid w:val="00D60F14"/>
    <w:rsid w:val="00D71A33"/>
    <w:rsid w:val="00D82006"/>
    <w:rsid w:val="00D82864"/>
    <w:rsid w:val="00D82B9D"/>
    <w:rsid w:val="00D962FC"/>
    <w:rsid w:val="00DA2D40"/>
    <w:rsid w:val="00DB22A0"/>
    <w:rsid w:val="00DB3EEB"/>
    <w:rsid w:val="00DC0D5F"/>
    <w:rsid w:val="00DC344B"/>
    <w:rsid w:val="00DC41A5"/>
    <w:rsid w:val="00DC7B18"/>
    <w:rsid w:val="00DE67FD"/>
    <w:rsid w:val="00E02300"/>
    <w:rsid w:val="00E06B87"/>
    <w:rsid w:val="00E20765"/>
    <w:rsid w:val="00E32EED"/>
    <w:rsid w:val="00E35143"/>
    <w:rsid w:val="00E7606F"/>
    <w:rsid w:val="00E8327F"/>
    <w:rsid w:val="00EA19D0"/>
    <w:rsid w:val="00EB09C6"/>
    <w:rsid w:val="00ED7D28"/>
    <w:rsid w:val="00EE25F0"/>
    <w:rsid w:val="00EF5114"/>
    <w:rsid w:val="00F02060"/>
    <w:rsid w:val="00F147DD"/>
    <w:rsid w:val="00F15451"/>
    <w:rsid w:val="00F55FA8"/>
    <w:rsid w:val="00F64A55"/>
    <w:rsid w:val="00F739EA"/>
    <w:rsid w:val="00F73E38"/>
    <w:rsid w:val="00F815B0"/>
    <w:rsid w:val="00F96969"/>
    <w:rsid w:val="00FA65C9"/>
    <w:rsid w:val="00FA6BCC"/>
    <w:rsid w:val="00FB59C0"/>
    <w:rsid w:val="00FC247E"/>
    <w:rsid w:val="00FD76DE"/>
    <w:rsid w:val="00FE17BC"/>
    <w:rsid w:val="00FE685B"/>
    <w:rsid w:val="00FF4158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009CA-0560-43C9-A60D-21A39CD2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01B"/>
  </w:style>
  <w:style w:type="paragraph" w:styleId="Nagwek1">
    <w:name w:val="heading 1"/>
    <w:basedOn w:val="Normalny"/>
    <w:next w:val="Normalny"/>
    <w:link w:val="Nagwek1Znak"/>
    <w:uiPriority w:val="9"/>
    <w:qFormat/>
    <w:rsid w:val="00BA3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3F3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76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A376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A3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A376B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BA376B"/>
    <w:pPr>
      <w:tabs>
        <w:tab w:val="right" w:leader="dot" w:pos="9062"/>
      </w:tabs>
      <w:spacing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BA376B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BA376B"/>
    <w:pPr>
      <w:tabs>
        <w:tab w:val="right" w:leader="dot" w:pos="9062"/>
      </w:tabs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64C1"/>
  </w:style>
  <w:style w:type="paragraph" w:styleId="Stopka">
    <w:name w:val="footer"/>
    <w:basedOn w:val="Normalny"/>
    <w:link w:val="StopkaZnak"/>
    <w:uiPriority w:val="99"/>
    <w:unhideWhenUsed/>
    <w:rsid w:val="001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4C1"/>
  </w:style>
  <w:style w:type="paragraph" w:styleId="Akapitzlist">
    <w:name w:val="List Paragraph"/>
    <w:basedOn w:val="Normalny"/>
    <w:link w:val="AkapitzlistZnak"/>
    <w:uiPriority w:val="34"/>
    <w:qFormat/>
    <w:rsid w:val="001864C1"/>
    <w:pPr>
      <w:ind w:left="720"/>
      <w:contextualSpacing/>
    </w:pPr>
  </w:style>
  <w:style w:type="paragraph" w:customStyle="1" w:styleId="Default">
    <w:name w:val="Default"/>
    <w:rsid w:val="001824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2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2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2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864"/>
    <w:rPr>
      <w:b/>
      <w:bCs/>
      <w:sz w:val="20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iPriority w:val="99"/>
    <w:unhideWhenUsed/>
    <w:qFormat/>
    <w:rsid w:val="004209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420900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42090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23F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A23F33"/>
  </w:style>
  <w:style w:type="paragraph" w:styleId="Zwykytekst">
    <w:name w:val="Plain Text"/>
    <w:basedOn w:val="Normalny"/>
    <w:link w:val="ZwykytekstZnak"/>
    <w:uiPriority w:val="99"/>
    <w:semiHidden/>
    <w:unhideWhenUsed/>
    <w:rsid w:val="00A23F3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23F33"/>
    <w:rPr>
      <w:rFonts w:ascii="Calibri" w:hAnsi="Calibri"/>
      <w:szCs w:val="21"/>
    </w:rPr>
  </w:style>
  <w:style w:type="paragraph" w:customStyle="1" w:styleId="ZnakZnak4">
    <w:name w:val="Znak Znak4"/>
    <w:basedOn w:val="Normalny"/>
    <w:rsid w:val="0057269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ED6A1-8870-4171-AD4D-10CCF326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6019</Words>
  <Characters>36115</Characters>
  <Application>Microsoft Office Word</Application>
  <DocSecurity>0</DocSecurity>
  <Lines>300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42050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ksiodmiak</dc:creator>
  <cp:lastModifiedBy>Honorata Ziubrak</cp:lastModifiedBy>
  <cp:revision>2</cp:revision>
  <cp:lastPrinted>2017-01-05T10:38:00Z</cp:lastPrinted>
  <dcterms:created xsi:type="dcterms:W3CDTF">2017-07-28T11:16:00Z</dcterms:created>
  <dcterms:modified xsi:type="dcterms:W3CDTF">2017-07-28T11:16:00Z</dcterms:modified>
</cp:coreProperties>
</file>