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C3" w:rsidRPr="0000595F" w:rsidRDefault="003F64C3" w:rsidP="00AE47AE">
      <w:pPr>
        <w:jc w:val="both"/>
        <w:rPr>
          <w:rFonts w:eastAsia="Calibri" w:cs="Times New Roman"/>
        </w:rPr>
      </w:pPr>
      <w:bookmarkStart w:id="0" w:name="_GoBack"/>
      <w:bookmarkEnd w:id="0"/>
      <w:r w:rsidRPr="0000595F">
        <w:rPr>
          <w:rFonts w:eastAsia="Calibri" w:cs="Times New Roman"/>
        </w:rPr>
        <w:t>Pytania ze spotkania dla Działania 10.1 ZIT – 19 listopada 2015 r.</w:t>
      </w:r>
    </w:p>
    <w:p w:rsidR="003F64C3" w:rsidRPr="0000595F" w:rsidRDefault="003F64C3" w:rsidP="00AE47AE">
      <w:pPr>
        <w:jc w:val="both"/>
        <w:rPr>
          <w:rFonts w:eastAsia="Calibri" w:cs="Times New Roman"/>
        </w:rPr>
      </w:pPr>
      <w:r w:rsidRPr="0000595F">
        <w:rPr>
          <w:rFonts w:eastAsia="Calibri" w:cs="Times New Roman"/>
        </w:rPr>
        <w:t>Pytania dotyczące Generatora wniosków:</w:t>
      </w:r>
      <w:r w:rsidR="00136446" w:rsidRPr="0000595F">
        <w:rPr>
          <w:rFonts w:eastAsia="Calibri" w:cs="Times New Roman"/>
        </w:rPr>
        <w:t xml:space="preserve"> </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Kiedy będzie dostępna instrukcja wypełniania Generatora?</w:t>
      </w:r>
      <w:r w:rsidR="00D81AF4" w:rsidRPr="0000595F">
        <w:rPr>
          <w:rFonts w:eastAsia="Calibri" w:cs="Times New Roman"/>
        </w:rPr>
        <w:t xml:space="preserve"> </w:t>
      </w:r>
    </w:p>
    <w:p w:rsidR="00D927FA" w:rsidRPr="0000595F" w:rsidRDefault="00D927FA" w:rsidP="00D927FA">
      <w:pPr>
        <w:ind w:left="709"/>
        <w:jc w:val="both"/>
        <w:rPr>
          <w:rFonts w:eastAsia="Calibri" w:cs="Times New Roman"/>
        </w:rPr>
      </w:pPr>
      <w:r w:rsidRPr="0000595F">
        <w:rPr>
          <w:rFonts w:eastAsia="Calibri" w:cs="Times New Roman"/>
        </w:rPr>
        <w:t xml:space="preserve">Instrukcja została opublikowana 25 listopada 2015 </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Czy pole „złóż” będzie aktywne/dostępne wcześniej czy tylko w terminie naboru?</w:t>
      </w:r>
    </w:p>
    <w:p w:rsidR="00D927FA" w:rsidRPr="0000595F" w:rsidRDefault="00D927FA" w:rsidP="00D927FA">
      <w:pPr>
        <w:ind w:left="709"/>
        <w:jc w:val="both"/>
        <w:rPr>
          <w:rFonts w:eastAsia="Calibri" w:cs="Times New Roman"/>
        </w:rPr>
      </w:pPr>
      <w:r w:rsidRPr="0000595F">
        <w:rPr>
          <w:rFonts w:eastAsia="Calibri" w:cs="Times New Roman"/>
        </w:rPr>
        <w:t>Pole „Złóż” będzie aktywne tylko w terminie naboru.</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Czy obecna wersja Generatora umożliwi liczenie znaków w danym polu tekstowym?</w:t>
      </w:r>
    </w:p>
    <w:p w:rsidR="00D927FA" w:rsidRPr="0000595F" w:rsidRDefault="00D927FA" w:rsidP="00D927FA">
      <w:pPr>
        <w:ind w:left="709"/>
        <w:contextualSpacing/>
        <w:jc w:val="both"/>
        <w:rPr>
          <w:rFonts w:eastAsia="Calibri" w:cs="Times New Roman"/>
        </w:rPr>
      </w:pPr>
      <w:r w:rsidRPr="0000595F">
        <w:rPr>
          <w:rFonts w:eastAsia="Calibri" w:cs="Times New Roman"/>
        </w:rPr>
        <w:t>Nie, Generator w obecnej wersji informuje tylko o przekroczeniu liczby znaków.</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Czy jest przewidziana walidacja pól generatora w celu sprawdzenia błędów?</w:t>
      </w:r>
    </w:p>
    <w:p w:rsidR="00D927FA" w:rsidRPr="0000595F" w:rsidRDefault="00D927FA" w:rsidP="00D927FA">
      <w:pPr>
        <w:ind w:left="709"/>
        <w:contextualSpacing/>
        <w:jc w:val="both"/>
        <w:rPr>
          <w:rFonts w:eastAsia="Calibri" w:cs="Times New Roman"/>
        </w:rPr>
      </w:pPr>
      <w:r w:rsidRPr="0000595F">
        <w:rPr>
          <w:rFonts w:eastAsia="Calibri" w:cs="Times New Roman"/>
        </w:rPr>
        <w:t>Generator posiada częściową walidację pól. Będzie ona rozbudowywana w celu ograniczenia błędów.</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Czy ikona „złóż” oznacza, że wniosek został złożony w IZ?</w:t>
      </w:r>
    </w:p>
    <w:p w:rsidR="00D927FA" w:rsidRPr="0000595F" w:rsidRDefault="00D927FA" w:rsidP="00D927FA">
      <w:pPr>
        <w:ind w:left="709"/>
        <w:contextualSpacing/>
        <w:jc w:val="both"/>
        <w:rPr>
          <w:rFonts w:eastAsia="Calibri" w:cs="Times New Roman"/>
        </w:rPr>
      </w:pPr>
      <w:r w:rsidRPr="0000595F">
        <w:rPr>
          <w:rFonts w:eastAsia="Calibri" w:cs="Times New Roman"/>
        </w:rPr>
        <w:t xml:space="preserve">Ikona „złóż” przekierowuje Wnioskodawcę na </w:t>
      </w:r>
      <w:proofErr w:type="spellStart"/>
      <w:r w:rsidRPr="0000595F">
        <w:rPr>
          <w:rFonts w:eastAsia="Calibri" w:cs="Times New Roman"/>
        </w:rPr>
        <w:t>ePUAP</w:t>
      </w:r>
      <w:proofErr w:type="spellEnd"/>
      <w:r w:rsidRPr="0000595F">
        <w:rPr>
          <w:rFonts w:eastAsia="Calibri" w:cs="Times New Roman"/>
        </w:rPr>
        <w:t xml:space="preserve"> gdzie należy wniosek podpisać. Zatwierdzenie podpisu na </w:t>
      </w:r>
      <w:proofErr w:type="spellStart"/>
      <w:r w:rsidRPr="0000595F">
        <w:rPr>
          <w:rFonts w:eastAsia="Calibri" w:cs="Times New Roman"/>
        </w:rPr>
        <w:t>ePUAP</w:t>
      </w:r>
      <w:proofErr w:type="spellEnd"/>
      <w:r w:rsidRPr="0000595F">
        <w:rPr>
          <w:rFonts w:eastAsia="Calibri" w:cs="Times New Roman"/>
        </w:rPr>
        <w:t xml:space="preserve"> skutkuje złożeniem wniosku z IZ.</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Czy osoba uprawniona do złożenia podpisania wniosku musi mieć konto na e-</w:t>
      </w:r>
      <w:proofErr w:type="spellStart"/>
      <w:r w:rsidRPr="0000595F">
        <w:rPr>
          <w:rFonts w:eastAsia="Calibri" w:cs="Times New Roman"/>
        </w:rPr>
        <w:t>puap</w:t>
      </w:r>
      <w:proofErr w:type="spellEnd"/>
      <w:r w:rsidRPr="0000595F">
        <w:rPr>
          <w:rFonts w:eastAsia="Calibri" w:cs="Times New Roman"/>
        </w:rPr>
        <w:t>?</w:t>
      </w:r>
    </w:p>
    <w:p w:rsidR="00D927FA" w:rsidRPr="0000595F" w:rsidRDefault="00D927FA" w:rsidP="00D927FA">
      <w:pPr>
        <w:ind w:left="709"/>
        <w:contextualSpacing/>
        <w:jc w:val="both"/>
        <w:rPr>
          <w:rFonts w:eastAsia="Calibri" w:cs="Times New Roman"/>
        </w:rPr>
      </w:pPr>
      <w:r w:rsidRPr="0000595F">
        <w:rPr>
          <w:rFonts w:eastAsia="Calibri" w:cs="Times New Roman"/>
        </w:rPr>
        <w:t xml:space="preserve">Konto na </w:t>
      </w:r>
      <w:proofErr w:type="spellStart"/>
      <w:r w:rsidRPr="0000595F">
        <w:rPr>
          <w:rFonts w:eastAsia="Calibri" w:cs="Times New Roman"/>
        </w:rPr>
        <w:t>ePUAP</w:t>
      </w:r>
      <w:proofErr w:type="spellEnd"/>
      <w:r w:rsidRPr="0000595F">
        <w:rPr>
          <w:rFonts w:eastAsia="Calibri" w:cs="Times New Roman"/>
        </w:rPr>
        <w:t xml:space="preserve"> musi mieć osoba reprezentująca Wnioskodawcę zgodnie z dokumentami statutowymi, lub mająca upoważnienie do reprezentowania. Tylko osoby mające konto mogą złożyć podpis elektroniczny.</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Czy po zaznaczeniu „złóż” będzie możliwa edycja wniosku?</w:t>
      </w:r>
    </w:p>
    <w:p w:rsidR="00D927FA" w:rsidRPr="0000595F" w:rsidRDefault="00D927FA" w:rsidP="00D927FA">
      <w:pPr>
        <w:ind w:left="709"/>
        <w:jc w:val="both"/>
        <w:rPr>
          <w:rFonts w:eastAsia="Calibri" w:cs="Times New Roman"/>
        </w:rPr>
      </w:pPr>
      <w:r w:rsidRPr="0000595F">
        <w:rPr>
          <w:rFonts w:eastAsia="Calibri" w:cs="Times New Roman"/>
        </w:rPr>
        <w:t xml:space="preserve">Po zaznaczeniu „złóż” wniosek jest zablokowany do edycji. </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Jak wygląda procedura wycofania wniosku?</w:t>
      </w:r>
    </w:p>
    <w:p w:rsidR="00D927FA" w:rsidRPr="0000595F" w:rsidRDefault="00D927FA" w:rsidP="00D927FA">
      <w:pPr>
        <w:ind w:left="709"/>
        <w:contextualSpacing/>
        <w:jc w:val="both"/>
        <w:rPr>
          <w:rFonts w:eastAsia="Calibri" w:cs="Times New Roman"/>
        </w:rPr>
      </w:pPr>
      <w:r w:rsidRPr="0000595F">
        <w:rPr>
          <w:rFonts w:eastAsia="Calibri" w:cs="Times New Roman"/>
        </w:rPr>
        <w:t>W chwili obecnej wycofanie wniosku odbywa się poprzez przesłanie pisma z prośbą do Instytucji Ogłaszającej Konkurs.</w:t>
      </w:r>
    </w:p>
    <w:p w:rsidR="003F64C3" w:rsidRPr="0000595F" w:rsidRDefault="003F64C3" w:rsidP="00AE47AE">
      <w:pPr>
        <w:numPr>
          <w:ilvl w:val="0"/>
          <w:numId w:val="1"/>
        </w:numPr>
        <w:ind w:left="709" w:hanging="425"/>
        <w:contextualSpacing/>
        <w:jc w:val="both"/>
        <w:rPr>
          <w:rFonts w:eastAsia="Calibri" w:cs="Times New Roman"/>
        </w:rPr>
      </w:pPr>
      <w:r w:rsidRPr="0000595F">
        <w:rPr>
          <w:rFonts w:eastAsia="Calibri" w:cs="Times New Roman"/>
        </w:rPr>
        <w:t>Jak wygląda podpisywanie oświadczeń w Generatorze?</w:t>
      </w:r>
    </w:p>
    <w:p w:rsidR="00D927FA" w:rsidRPr="0000595F" w:rsidRDefault="00D927FA" w:rsidP="00D927FA">
      <w:pPr>
        <w:ind w:left="709"/>
        <w:contextualSpacing/>
        <w:jc w:val="both"/>
        <w:rPr>
          <w:rFonts w:eastAsia="Calibri" w:cs="Times New Roman"/>
        </w:rPr>
      </w:pPr>
      <w:r w:rsidRPr="0000595F">
        <w:rPr>
          <w:rFonts w:eastAsia="Calibri" w:cs="Times New Roman"/>
        </w:rPr>
        <w:t xml:space="preserve">Oświadczenia w Generatorze są podpisane poprzez profil zaufany </w:t>
      </w:r>
      <w:proofErr w:type="spellStart"/>
      <w:r w:rsidRPr="0000595F">
        <w:rPr>
          <w:rFonts w:eastAsia="Calibri" w:cs="Times New Roman"/>
        </w:rPr>
        <w:t>ePUAP</w:t>
      </w:r>
      <w:proofErr w:type="spellEnd"/>
      <w:r w:rsidRPr="0000595F">
        <w:rPr>
          <w:rFonts w:eastAsia="Calibri" w:cs="Times New Roman"/>
        </w:rPr>
        <w:t xml:space="preserve"> wraz z całym formularzem.</w:t>
      </w:r>
    </w:p>
    <w:p w:rsidR="00CA509D" w:rsidRPr="0000595F" w:rsidRDefault="00CA509D" w:rsidP="00AE47AE">
      <w:pPr>
        <w:jc w:val="both"/>
        <w:rPr>
          <w:rFonts w:eastAsia="Calibri" w:cs="Times New Roman"/>
        </w:rPr>
      </w:pPr>
    </w:p>
    <w:p w:rsidR="00CA509D" w:rsidRPr="0000595F" w:rsidRDefault="003F64C3" w:rsidP="00AE47AE">
      <w:pPr>
        <w:jc w:val="both"/>
        <w:rPr>
          <w:rFonts w:eastAsia="Calibri" w:cs="Times New Roman"/>
        </w:rPr>
      </w:pPr>
      <w:r w:rsidRPr="0000595F">
        <w:rPr>
          <w:rFonts w:eastAsia="Calibri" w:cs="Times New Roman"/>
        </w:rPr>
        <w:t>Pytania dotyczące Działania 10.1:</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dzieci starsze,</w:t>
      </w:r>
      <w:r w:rsidR="00CA509D" w:rsidRPr="0000595F">
        <w:rPr>
          <w:rFonts w:eastAsia="Calibri" w:cs="Times New Roman"/>
        </w:rPr>
        <w:t xml:space="preserve"> które skończą 5 lat</w:t>
      </w:r>
      <w:r w:rsidRPr="0000595F">
        <w:rPr>
          <w:rFonts w:eastAsia="Calibri" w:cs="Times New Roman"/>
        </w:rPr>
        <w:t xml:space="preserve"> </w:t>
      </w:r>
      <w:r w:rsidR="00CA509D" w:rsidRPr="0000595F">
        <w:rPr>
          <w:rFonts w:eastAsia="Calibri" w:cs="Times New Roman"/>
        </w:rPr>
        <w:t>(</w:t>
      </w:r>
      <w:r w:rsidRPr="0000595F">
        <w:rPr>
          <w:rFonts w:eastAsia="Calibri" w:cs="Times New Roman"/>
        </w:rPr>
        <w:t>niepełnosprawne</w:t>
      </w:r>
      <w:r w:rsidR="00CA509D" w:rsidRPr="0000595F">
        <w:rPr>
          <w:rFonts w:eastAsia="Calibri" w:cs="Times New Roman"/>
        </w:rPr>
        <w:t>)</w:t>
      </w:r>
      <w:r w:rsidRPr="0000595F">
        <w:rPr>
          <w:rFonts w:eastAsia="Calibri" w:cs="Times New Roman"/>
        </w:rPr>
        <w:t>, pozostające w przedszkolu mogą być objęte wsparciem?</w:t>
      </w:r>
    </w:p>
    <w:p w:rsidR="00700586" w:rsidRPr="0000595F" w:rsidRDefault="00700586" w:rsidP="00AE47AE">
      <w:pPr>
        <w:pStyle w:val="Akapitzlist"/>
        <w:autoSpaceDE w:val="0"/>
        <w:autoSpaceDN w:val="0"/>
        <w:adjustRightInd w:val="0"/>
        <w:spacing w:after="0" w:line="240" w:lineRule="auto"/>
        <w:jc w:val="both"/>
      </w:pPr>
      <w:r w:rsidRPr="0000595F">
        <w:t xml:space="preserve">Grupa docelowa powinna być zgodna z </w:t>
      </w:r>
      <w:proofErr w:type="spellStart"/>
      <w:r w:rsidRPr="0000595F">
        <w:t>SzOOP</w:t>
      </w:r>
      <w:proofErr w:type="spellEnd"/>
      <w:r w:rsidRPr="0000595F">
        <w:t xml:space="preserve"> RPO WD 2014-2020: „dzieci w wieku przedszkolnym, określonym w Ustawie z dnia 7 września 1991 r. o systemie oświaty”: </w:t>
      </w:r>
    </w:p>
    <w:p w:rsidR="00700586" w:rsidRPr="0000595F" w:rsidRDefault="00700586" w:rsidP="00AE47AE">
      <w:pPr>
        <w:pStyle w:val="Akapitzlist"/>
        <w:autoSpaceDE w:val="0"/>
        <w:autoSpaceDN w:val="0"/>
        <w:adjustRightInd w:val="0"/>
        <w:spacing w:after="0" w:line="240" w:lineRule="auto"/>
        <w:jc w:val="both"/>
        <w:rPr>
          <w:rFonts w:cs="Verdana,Bold"/>
          <w:b/>
          <w:bCs/>
        </w:rPr>
      </w:pPr>
      <w:r w:rsidRPr="0000595F">
        <w:rPr>
          <w:rFonts w:cs="Verdana,Bold"/>
          <w:b/>
          <w:bCs/>
        </w:rPr>
        <w:t xml:space="preserve">Art. 14. </w:t>
      </w:r>
    </w:p>
    <w:p w:rsidR="00700586" w:rsidRPr="0000595F" w:rsidRDefault="00700586" w:rsidP="00AE47AE">
      <w:pPr>
        <w:pStyle w:val="Akapitzlist"/>
        <w:autoSpaceDE w:val="0"/>
        <w:autoSpaceDN w:val="0"/>
        <w:adjustRightInd w:val="0"/>
        <w:spacing w:after="0" w:line="240" w:lineRule="auto"/>
        <w:jc w:val="both"/>
        <w:rPr>
          <w:rFonts w:cs="Verdana"/>
        </w:rPr>
      </w:pPr>
      <w:r w:rsidRPr="0000595F">
        <w:rPr>
          <w:rFonts w:cs="Verdana"/>
        </w:rPr>
        <w:t>1. Wychowanie przedszkolne obejmuje dzieci w wieku 3-6 lat. Wychowanie przedszkolne jest realizowane w przedszkolach, oddziałach przedszkolnych w szkołach podstawowych oraz w innych formach wychowania przedszkolnego, z zastrzeżeniem art. 14a ust. 5.</w:t>
      </w:r>
    </w:p>
    <w:p w:rsidR="00700586" w:rsidRPr="0000595F" w:rsidRDefault="00700586" w:rsidP="00AE47AE">
      <w:pPr>
        <w:pStyle w:val="Akapitzlist"/>
        <w:autoSpaceDE w:val="0"/>
        <w:autoSpaceDN w:val="0"/>
        <w:adjustRightInd w:val="0"/>
        <w:spacing w:after="0" w:line="240" w:lineRule="auto"/>
        <w:jc w:val="both"/>
        <w:rPr>
          <w:rFonts w:cs="Verdana"/>
        </w:rPr>
      </w:pPr>
      <w:r w:rsidRPr="0000595F">
        <w:rPr>
          <w:rFonts w:cs="Verdana"/>
        </w:rPr>
        <w:t>1a. W przypadku dzieci posiadających orzeczenie o potrzebie kształcenia specjalnego wychowaniem przedszkolnym może być objęte dziecko w wieku powyżej 6 lat, nie dłużej jednak niż do końca roku szkolnego w tym roku kalendarzowym, w którym dziecko kończy 10 lat. Obowiązek szkolny tych dzieci może być odroczony do końca roku szkolnego w tym roku kalendarzowym, w którym dziecko kończy 10 lat.</w:t>
      </w:r>
    </w:p>
    <w:p w:rsidR="00700586" w:rsidRPr="0000595F" w:rsidRDefault="00700586" w:rsidP="00AE47AE">
      <w:pPr>
        <w:pStyle w:val="Akapitzlist"/>
        <w:autoSpaceDE w:val="0"/>
        <w:autoSpaceDN w:val="0"/>
        <w:adjustRightInd w:val="0"/>
        <w:spacing w:after="0" w:line="240" w:lineRule="auto"/>
        <w:jc w:val="both"/>
        <w:rPr>
          <w:rFonts w:eastAsia="Calibri" w:cs="Times New Roman"/>
        </w:rPr>
      </w:pP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lastRenderedPageBreak/>
        <w:t>Czy w przypadku 1 dziecka niepełnosprawnego w grupie można zorganizować w ramach wsparcia zajęcia dodatkowe dla całej grupy dzieci?</w:t>
      </w:r>
    </w:p>
    <w:p w:rsidR="00700586" w:rsidRPr="0000595F" w:rsidRDefault="00700586" w:rsidP="00AE47AE">
      <w:pPr>
        <w:pStyle w:val="Akapitzlist"/>
        <w:jc w:val="both"/>
        <w:rPr>
          <w:rFonts w:eastAsia="Calibri" w:cs="Times New Roman"/>
        </w:rPr>
      </w:pPr>
      <w:r w:rsidRPr="0000595F">
        <w:rPr>
          <w:rFonts w:eastAsia="Calibri" w:cs="Times New Roman"/>
        </w:rPr>
        <w:t xml:space="preserve">Tak, jednak należy pamiętać, że wsparcie to musi wynikać z diagnozy i być wsparciem warunkowanym przez wsparcie dla dzieci z </w:t>
      </w:r>
      <w:proofErr w:type="spellStart"/>
      <w:r w:rsidRPr="0000595F">
        <w:rPr>
          <w:rFonts w:eastAsia="Calibri" w:cs="Times New Roman"/>
        </w:rPr>
        <w:t>niepełnosparnościami</w:t>
      </w:r>
      <w:proofErr w:type="spellEnd"/>
      <w:r w:rsidRPr="0000595F">
        <w:rPr>
          <w:rFonts w:eastAsia="Calibri" w:cs="Times New Roman"/>
        </w:rPr>
        <w:t>, które jest wsparciem głównym.</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opisując zajęcia dodatkowe należy dokładnie opisywać rodzaj zajęć?</w:t>
      </w:r>
    </w:p>
    <w:p w:rsidR="00D81AF4" w:rsidRPr="0000595F" w:rsidRDefault="005D6B59" w:rsidP="00AE47AE">
      <w:pPr>
        <w:pStyle w:val="Akapitzlist"/>
        <w:jc w:val="both"/>
        <w:rPr>
          <w:rFonts w:eastAsia="Calibri" w:cs="Times New Roman"/>
        </w:rPr>
      </w:pPr>
      <w:r w:rsidRPr="0000595F">
        <w:t>Opis planowanych zadań, w tym przypadku zajęć dodatkowych, powinien być możliwie szczegółowy, z uwzględnieniem m.in. terminów i osób odpowiedzialnych za ich realizację. Wskazane jest podanie najważniejszych informacji dotyczących sposobu ich organizacji (w tym np. liczba godzin zajęć, liczba grup, ramowy opis programu nauczania, planowane terminy rozpoczęcia i zakończenia, zaangażowana kadra). Opisanie kadry zaangażowanej w organizację tego rodzaju zajęć możliwe jest w punkcie U.4. wniosku, a planowane terminy rozpoczęcia i zakończenia mogą wynikać z harmonogramu rzeczowego (sekcja S.). Wszystkie te informacje muszą umożliwić ocenę merytoryczną zawartości planowanego wsparcia w odniesieniu do standardów realizacji tego rodzaju działań, ich zakresu oraz do potrzeb, barier i problemów uczestników/uczestniczek projektu, a także właściwą ocenę kwalifikowalności budżetu projektu.</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wyposażenie miejsca dla dziecka niepełnosprawnego bez tworzenia nowego miejsca w przedszkolu jest możliwe?</w:t>
      </w:r>
    </w:p>
    <w:p w:rsidR="00EA5B75" w:rsidRPr="0000595F" w:rsidRDefault="00EA5B75" w:rsidP="00EA5B75">
      <w:pPr>
        <w:pStyle w:val="Akapitzlist"/>
        <w:jc w:val="both"/>
      </w:pPr>
      <w:r w:rsidRPr="0000595F">
        <w:rPr>
          <w:rFonts w:eastAsia="Calibri" w:cs="Times New Roman"/>
        </w:rPr>
        <w:t xml:space="preserve">Tak </w:t>
      </w:r>
      <w:r w:rsidRPr="0000595F">
        <w:t xml:space="preserve"> ale tylko w ramach mechanizmu racjonalnych usprawnień w ramach typu projektów 10.1.B zgodnie z zapisami Regulaminu konkursu w </w:t>
      </w:r>
      <w:proofErr w:type="spellStart"/>
      <w:r w:rsidRPr="0000595F">
        <w:t>w</w:t>
      </w:r>
      <w:proofErr w:type="spellEnd"/>
      <w:r w:rsidRPr="0000595F">
        <w:t xml:space="preserve"> pkt. 6 Realizacja zasad horyzontalnych „</w:t>
      </w:r>
      <w:r w:rsidRPr="0000595F">
        <w:rPr>
          <w:sz w:val="24"/>
          <w:szCs w:val="24"/>
        </w:rPr>
        <w:t xml:space="preserve">W ramach projektów ogólnodostępnych, w szczególności w przypadku braku możliwości świadczenia usługi spełniającej zasadę równości szans i niedyskryminacji dla osób z niepełnosprawnościami w celu zapewnienia możliwości pełnego uczestnictwa osób z niepełnosprawnościami, również należy zastosować mechanizm racjonalnych usprawnień”. Nie ma możliwości realizacji pierwszego typu projektów 10.1.A, bez wzrostu miejsc przedszkolnych netto, który zawsze związany jest ze zwiększeniem liczby miejsc przedszkolnych w OWP. W związku z powyższym nie ma możliwości realizacji projektu, który dotyczy </w:t>
      </w:r>
      <w:r w:rsidRPr="0000595F">
        <w:t>wyłącznie doposażenia istniejących miejsc przedszkolnych do potrzeb dzieci z niepełno sprawnościami.</w:t>
      </w:r>
    </w:p>
    <w:p w:rsidR="00700586" w:rsidRPr="0000595F" w:rsidRDefault="00700586" w:rsidP="00AE47AE">
      <w:pPr>
        <w:pStyle w:val="Akapitzlist"/>
        <w:jc w:val="both"/>
        <w:rPr>
          <w:rFonts w:eastAsia="Calibri" w:cs="Times New Roman"/>
        </w:rPr>
      </w:pP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w ramach szkolenia nauczycieli możliwe jest ich szkolenie w ramach Rady Pedagogicznej</w:t>
      </w:r>
      <w:r w:rsidR="00CA509D" w:rsidRPr="0000595F">
        <w:rPr>
          <w:rFonts w:eastAsia="Calibri" w:cs="Times New Roman"/>
        </w:rPr>
        <w:t xml:space="preserve"> (szkolenia nie kończą się certyfikatem)</w:t>
      </w:r>
      <w:r w:rsidRPr="0000595F">
        <w:rPr>
          <w:rFonts w:eastAsia="Calibri" w:cs="Times New Roman"/>
        </w:rPr>
        <w:t>? Jak rozumiane jest podnoszenie i nabywanie nowych kompetencji? Czy wymagane są certyfikaty ze szkoleń?</w:t>
      </w:r>
    </w:p>
    <w:p w:rsidR="00AE47AE" w:rsidRPr="0000595F" w:rsidRDefault="00AE47AE" w:rsidP="003804AB">
      <w:pPr>
        <w:pStyle w:val="Default"/>
        <w:ind w:left="709"/>
        <w:jc w:val="both"/>
        <w:rPr>
          <w:rFonts w:asciiTheme="minorHAnsi" w:hAnsiTheme="minorHAnsi"/>
          <w:color w:val="auto"/>
          <w:sz w:val="22"/>
          <w:szCs w:val="22"/>
        </w:rPr>
      </w:pPr>
      <w:r w:rsidRPr="0000595F">
        <w:rPr>
          <w:rFonts w:asciiTheme="minorHAnsi" w:hAnsiTheme="minorHAnsi"/>
          <w:color w:val="auto"/>
          <w:sz w:val="22"/>
          <w:szCs w:val="22"/>
        </w:rPr>
        <w:t xml:space="preserve">Zgodnie z Wytycznymi   </w:t>
      </w:r>
      <w:r w:rsidRPr="0000595F">
        <w:rPr>
          <w:rFonts w:asciiTheme="minorHAnsi" w:hAnsiTheme="minorHAnsi"/>
          <w:b/>
          <w:bCs/>
          <w:color w:val="auto"/>
          <w:sz w:val="22"/>
          <w:szCs w:val="22"/>
        </w:rPr>
        <w:t xml:space="preserve">w zakresie realizacji przedsięwzięć z udziałem środków Europejskiego Funduszu Społecznego w obszarze edukacji na lata 2014-2020 </w:t>
      </w:r>
      <w:r w:rsidRPr="0000595F">
        <w:rPr>
          <w:rFonts w:asciiTheme="minorHAnsi" w:hAnsiTheme="minorHAnsi"/>
          <w:color w:val="auto"/>
          <w:sz w:val="22"/>
          <w:szCs w:val="22"/>
        </w:rPr>
        <w:t xml:space="preserve">realizacja projektu w zakresie doskonalenia umiejętności i kompetencji zawodowych nauczycieli OWP </w:t>
      </w:r>
      <w:r w:rsidR="00AF5CD6" w:rsidRPr="0000595F">
        <w:rPr>
          <w:rFonts w:asciiTheme="minorHAnsi" w:hAnsiTheme="minorHAnsi"/>
          <w:color w:val="auto"/>
          <w:sz w:val="22"/>
          <w:szCs w:val="22"/>
        </w:rPr>
        <w:t xml:space="preserve">musi zostać </w:t>
      </w:r>
      <w:r w:rsidRPr="0000595F">
        <w:rPr>
          <w:rFonts w:asciiTheme="minorHAnsi" w:hAnsiTheme="minorHAnsi"/>
          <w:color w:val="auto"/>
          <w:sz w:val="22"/>
          <w:szCs w:val="22"/>
        </w:rPr>
        <w:t xml:space="preserve">każdorazowo poprzedzona diagnozą stopnia przygotowania ww. grupy docelowej do pracy z dziećmi w wieku przedszkolnym, w tym z dziećmi ze specjalnymi potrzebami edukacyjnymi oraz analizą zapotrzebowania OWP na określone kompetencje i kwalifikacje. Podmiot przeprowadzający diagnozę ma możliwość skorzystania ze wsparcia instytucji wspomagających OWP, tj. z uwzględnieniem narzędzi i metodologii opracowanych przez MEN i jednostki podległe lub nadzorowane. </w:t>
      </w:r>
      <w:r w:rsidR="00D4078E" w:rsidRPr="0000595F">
        <w:rPr>
          <w:rFonts w:asciiTheme="minorHAnsi" w:hAnsiTheme="minorHAnsi"/>
          <w:color w:val="auto"/>
          <w:sz w:val="22"/>
          <w:szCs w:val="22"/>
        </w:rPr>
        <w:t>W</w:t>
      </w:r>
      <w:r w:rsidR="00D4078E" w:rsidRPr="0000595F">
        <w:rPr>
          <w:rFonts w:asciiTheme="minorHAnsi" w:hAnsiTheme="minorHAnsi" w:cs="Calibri"/>
          <w:color w:val="auto"/>
          <w:sz w:val="22"/>
          <w:szCs w:val="22"/>
        </w:rPr>
        <w:t xml:space="preserve"> przypadku szkoleń dotyczących nabycia kompetencji wystarczające będzie zaświadczenie o ukończeniu szkolenia wydane przez organizatora. Nabyte kompetencje muszą być potwierdzone odpowiednim dokumentem i </w:t>
      </w:r>
      <w:r w:rsidR="00D4078E" w:rsidRPr="0000595F">
        <w:rPr>
          <w:rFonts w:asciiTheme="minorHAnsi" w:hAnsiTheme="minorHAnsi" w:cs="Calibri"/>
          <w:color w:val="auto"/>
          <w:sz w:val="22"/>
          <w:szCs w:val="22"/>
        </w:rPr>
        <w:lastRenderedPageBreak/>
        <w:t>każdorazowo będą weryfikowane poprzez odpowiednie sprawdzenia przyswojonej wiedzy czy kompetencji. Warunkiem nabycia kompetencji jest zrealizowanie wszystkich etapów nabycia kompetencji (zestaw efektów uczenia się). Wnioskodawca we wniosku o dofinansowanie musi opisać standard wymagań (efekty uczenia się, które osiągną uczestnicy szkolenia) i sposób weryfikacji nabycia kompetencji (egzamin zewnętrzny, test, rozmowa oceniająca, etc.).</w:t>
      </w:r>
    </w:p>
    <w:p w:rsidR="00136446" w:rsidRPr="0000595F" w:rsidRDefault="00136446" w:rsidP="00AE47AE">
      <w:pPr>
        <w:pStyle w:val="Akapitzlist"/>
        <w:jc w:val="both"/>
        <w:rPr>
          <w:rFonts w:eastAsia="Calibri" w:cs="Times New Roman"/>
        </w:rPr>
      </w:pP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kryteria oceny nabytych nowych kompetencji powinny być opisane we wniosku?</w:t>
      </w:r>
    </w:p>
    <w:p w:rsidR="00D81AF4" w:rsidRPr="0000595F" w:rsidRDefault="00FA46E6" w:rsidP="00AE47AE">
      <w:pPr>
        <w:pStyle w:val="Akapitzlist"/>
        <w:jc w:val="both"/>
        <w:rPr>
          <w:rFonts w:eastAsia="Calibri" w:cs="Times New Roman"/>
        </w:rPr>
      </w:pPr>
      <w:r w:rsidRPr="0000595F">
        <w:rPr>
          <w:rFonts w:eastAsia="Calibri" w:cs="Times New Roman"/>
        </w:rPr>
        <w:t xml:space="preserve">W zapisach wniosku o dofinansowanie powinien zostać opisany sposób pomiaru stopnia osiągnięcia rezultatów w zakresie wzrostu kompetencji. Wzrost kompetencji dzieci przedszkolnych może być mierzony na postawie wyników obserwacji czy opinii pedagoga lub  nauczyciela przedszkolnego.  </w:t>
      </w:r>
    </w:p>
    <w:p w:rsidR="00CA509D" w:rsidRPr="0000595F" w:rsidRDefault="00CA509D" w:rsidP="00AE47AE">
      <w:pPr>
        <w:pStyle w:val="Akapitzlist"/>
        <w:numPr>
          <w:ilvl w:val="0"/>
          <w:numId w:val="3"/>
        </w:numPr>
        <w:jc w:val="both"/>
        <w:rPr>
          <w:rFonts w:eastAsia="Calibri" w:cs="Times New Roman"/>
        </w:rPr>
      </w:pPr>
      <w:r w:rsidRPr="0000595F">
        <w:rPr>
          <w:rFonts w:eastAsia="Calibri" w:cs="Times New Roman"/>
        </w:rPr>
        <w:t xml:space="preserve">Jak będzie prowadzona weryfikacja poniesionych kosztów w przypadku projektu, który obejmuje wszystkie typy operacji A, B i  C ? (weryfikacja kosztów poddziałania 10.1 A). </w:t>
      </w:r>
      <w:r w:rsidR="003F64C3" w:rsidRPr="0000595F">
        <w:rPr>
          <w:rFonts w:eastAsia="Calibri" w:cs="Times New Roman"/>
        </w:rPr>
        <w:t>Jakie dokumenty należy posiadać przy rozliczaniu w zależności od rodzaju ponoszonych kosztów?</w:t>
      </w:r>
    </w:p>
    <w:p w:rsidR="00136446" w:rsidRPr="0000595F" w:rsidRDefault="00FA46E6" w:rsidP="00AE47AE">
      <w:pPr>
        <w:pStyle w:val="Akapitzlist"/>
        <w:jc w:val="both"/>
        <w:rPr>
          <w:rFonts w:eastAsia="Calibri" w:cs="Times New Roman"/>
        </w:rPr>
      </w:pPr>
      <w:r w:rsidRPr="0000595F">
        <w:rPr>
          <w:rFonts w:eastAsia="Calibri" w:cs="Times New Roman"/>
        </w:rPr>
        <w:t>W przypadku projektów rozliczanych według uproszczonych metod rozliczania wydatków weryfikacja kwalifikowalności kosztów poniesionych w trakcie realizacji projektu weryfikowana będzie w oparciu o stopień realizacji założonych w umowie o dofinansowanie rezultatów. Dokumentacja niezbędna w tym zakresie to taka, która potwierdzać będzie realizację tych rezultatów</w:t>
      </w:r>
      <w:r w:rsidR="00C42102" w:rsidRPr="0000595F">
        <w:rPr>
          <w:rFonts w:eastAsia="Calibri" w:cs="Times New Roman"/>
        </w:rPr>
        <w:t xml:space="preserve"> i zostanie ona wskazano w umowie o dofinansowanie</w:t>
      </w:r>
      <w:r w:rsidR="00901EDB" w:rsidRPr="0000595F">
        <w:rPr>
          <w:rFonts w:eastAsia="Calibri" w:cs="Times New Roman"/>
        </w:rPr>
        <w:t xml:space="preserve"> projektu</w:t>
      </w:r>
      <w:r w:rsidRPr="0000595F">
        <w:rPr>
          <w:rFonts w:eastAsia="Calibri" w:cs="Times New Roman"/>
        </w:rPr>
        <w:t xml:space="preserve">. W przypadku projektów rozliczanych </w:t>
      </w:r>
      <w:r w:rsidR="00C42102" w:rsidRPr="0000595F">
        <w:rPr>
          <w:rFonts w:eastAsia="Calibri" w:cs="Times New Roman"/>
        </w:rPr>
        <w:t>w oparciu o koszty bezpośrednie kwalifikowalności wydatków weryfikowana będzie w oparciu o dokumenty księgowe na podstawie których ponoszone będą wydatki. Dowodem poniesienia wydatku jest zapłacona faktura</w:t>
      </w:r>
      <w:r w:rsidR="00901EDB" w:rsidRPr="0000595F">
        <w:rPr>
          <w:rFonts w:eastAsia="Calibri" w:cs="Times New Roman"/>
        </w:rPr>
        <w:t xml:space="preserve"> lub</w:t>
      </w:r>
      <w:r w:rsidR="00C42102" w:rsidRPr="0000595F">
        <w:rPr>
          <w:rFonts w:eastAsia="Calibri" w:cs="Times New Roman"/>
        </w:rPr>
        <w:t xml:space="preserve"> inny dokument księgowy o równoważnej wartości dowodowej wraz z odpowiednimi dokumentami potwierdzającymi dokonanie płatności.</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Jak wykazujemy i liczymy koszty zarządzania projektem (koszty osoby zarządzającej projektem i koszty nauczycieli prowadzących zajęcia)?</w:t>
      </w:r>
    </w:p>
    <w:p w:rsidR="00700586" w:rsidRPr="0000595F" w:rsidRDefault="00700586" w:rsidP="00AE47AE">
      <w:pPr>
        <w:pStyle w:val="Akapitzlist"/>
        <w:autoSpaceDE w:val="0"/>
        <w:autoSpaceDN w:val="0"/>
        <w:adjustRightInd w:val="0"/>
        <w:spacing w:after="0" w:line="240" w:lineRule="auto"/>
        <w:jc w:val="both"/>
        <w:rPr>
          <w:rFonts w:cs="Arial"/>
        </w:rPr>
      </w:pPr>
      <w:r w:rsidRPr="0000595F">
        <w:rPr>
          <w:rFonts w:cs="Arial"/>
        </w:rPr>
        <w:t xml:space="preserve">Zgodnie z </w:t>
      </w:r>
      <w:r w:rsidRPr="0000595F">
        <w:rPr>
          <w:rFonts w:cs="Arial"/>
          <w:b/>
          <w:bCs/>
        </w:rPr>
        <w:t>Wytycznymi w zakresie kwalifikowalno</w:t>
      </w:r>
      <w:r w:rsidRPr="0000595F">
        <w:rPr>
          <w:rFonts w:cs="Arial"/>
        </w:rPr>
        <w:t>ś</w:t>
      </w:r>
      <w:r w:rsidRPr="0000595F">
        <w:rPr>
          <w:rFonts w:cs="Arial"/>
          <w:b/>
          <w:bCs/>
        </w:rPr>
        <w:t>ci wydatków w ramach Europejskiego Funduszu Rozwoju Regionalnego, Europejskiego Funduszu Społecznego oraz Funduszu Spójno</w:t>
      </w:r>
      <w:r w:rsidRPr="0000595F">
        <w:rPr>
          <w:rFonts w:cs="Arial"/>
        </w:rPr>
        <w:t>ś</w:t>
      </w:r>
      <w:r w:rsidRPr="0000595F">
        <w:rPr>
          <w:rFonts w:cs="Arial"/>
          <w:b/>
          <w:bCs/>
        </w:rPr>
        <w:t>ci na lata 2014-2020 -</w:t>
      </w:r>
      <w:r w:rsidRPr="0000595F">
        <w:rPr>
          <w:rFonts w:cs="Arial"/>
        </w:rPr>
        <w:t>Koszty pośrednie stanowią koszty administracyjne związane z obsługą projektu,</w:t>
      </w:r>
    </w:p>
    <w:p w:rsidR="00700586" w:rsidRPr="0000595F" w:rsidRDefault="00700586" w:rsidP="00AE47AE">
      <w:pPr>
        <w:pStyle w:val="Akapitzlist"/>
        <w:autoSpaceDE w:val="0"/>
        <w:autoSpaceDN w:val="0"/>
        <w:adjustRightInd w:val="0"/>
        <w:spacing w:after="0" w:line="240" w:lineRule="auto"/>
        <w:jc w:val="both"/>
        <w:rPr>
          <w:rFonts w:cs="Arial"/>
        </w:rPr>
      </w:pPr>
      <w:r w:rsidRPr="0000595F">
        <w:rPr>
          <w:rFonts w:cs="Arial"/>
        </w:rPr>
        <w:t>w szczególności:</w:t>
      </w:r>
    </w:p>
    <w:p w:rsidR="00700586" w:rsidRPr="0000595F" w:rsidRDefault="00700586" w:rsidP="00AE47AE">
      <w:pPr>
        <w:pStyle w:val="Akapitzlist"/>
        <w:autoSpaceDE w:val="0"/>
        <w:autoSpaceDN w:val="0"/>
        <w:adjustRightInd w:val="0"/>
        <w:spacing w:after="0" w:line="240" w:lineRule="auto"/>
        <w:jc w:val="both"/>
        <w:rPr>
          <w:rFonts w:cs="Arial"/>
          <w:b/>
        </w:rPr>
      </w:pPr>
      <w:r w:rsidRPr="0000595F">
        <w:rPr>
          <w:rFonts w:cs="Arial"/>
        </w:rPr>
        <w:t xml:space="preserve">a) </w:t>
      </w:r>
      <w:r w:rsidRPr="0000595F">
        <w:rPr>
          <w:rFonts w:cs="Arial"/>
          <w:b/>
        </w:rPr>
        <w:t>koszty koordynatora lub kierownika projektu oraz innego personelu bezpośrednio</w:t>
      </w:r>
    </w:p>
    <w:p w:rsidR="00700586" w:rsidRPr="0000595F" w:rsidRDefault="00700586" w:rsidP="00AE47AE">
      <w:pPr>
        <w:pStyle w:val="Akapitzlist"/>
        <w:jc w:val="both"/>
        <w:rPr>
          <w:rFonts w:eastAsia="Calibri" w:cs="Times New Roman"/>
        </w:rPr>
      </w:pPr>
      <w:r w:rsidRPr="0000595F">
        <w:rPr>
          <w:rFonts w:cs="Arial"/>
          <w:b/>
        </w:rPr>
        <w:t>zaangażowanego w zarządzanie projektem i jego rozliczanie</w:t>
      </w:r>
      <w:r w:rsidRPr="0000595F">
        <w:rPr>
          <w:rFonts w:cs="Arial"/>
        </w:rPr>
        <w:t>, o ile jego zatrudnienie jest niezbędne dla realizacji projektu, w tym w szczególności koszty wynagrodzenia tych osób, ich delegacji służbowych i szkoleń oraz koszty związane z wdrażaniem polityki równych szans przez te osoby. Ponadto we wniosku o dofinansowanie beneficjent wskazuje formę zaangażowania i szacunkowy wymiar czasu pracy personelu projektu niezbędnego do realizacji zadań merytorycznych (etat / liczba godzin), co stanowi podstawę do oceny kwalifikowalności wydatków personelu projektu na etapie wyboru projektu oraz w trakcie jego realizacji.</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jeden wnioskodawca może złożyć wniosek do każdego poddziałania?</w:t>
      </w:r>
    </w:p>
    <w:p w:rsidR="00700586" w:rsidRPr="0000595F" w:rsidRDefault="00700586" w:rsidP="00AE47AE">
      <w:pPr>
        <w:pStyle w:val="Akapitzlist"/>
        <w:jc w:val="both"/>
        <w:rPr>
          <w:rFonts w:eastAsia="Calibri" w:cs="Times New Roman"/>
        </w:rPr>
      </w:pPr>
      <w:r w:rsidRPr="0000595F">
        <w:rPr>
          <w:rFonts w:eastAsia="Calibri" w:cs="Times New Roman"/>
        </w:rPr>
        <w:t>Tak, gdyż każde Poddziałanie jest realizowane w odrębnym konkursie.</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Co to jest zadanie zlecone?</w:t>
      </w:r>
    </w:p>
    <w:p w:rsidR="00700586" w:rsidRPr="0000595F" w:rsidRDefault="00700586" w:rsidP="00AE47AE">
      <w:pPr>
        <w:pStyle w:val="Akapitzlist"/>
        <w:jc w:val="both"/>
        <w:rPr>
          <w:rFonts w:cs="Arial"/>
        </w:rPr>
      </w:pPr>
      <w:r w:rsidRPr="0000595F">
        <w:rPr>
          <w:rFonts w:cs="Arial"/>
        </w:rPr>
        <w:t xml:space="preserve">Zgodnie z </w:t>
      </w:r>
      <w:r w:rsidRPr="0000595F">
        <w:rPr>
          <w:rFonts w:cs="Arial"/>
          <w:b/>
          <w:bCs/>
        </w:rPr>
        <w:t>Wytycznymi w zakresie kwalifikowalno</w:t>
      </w:r>
      <w:r w:rsidRPr="0000595F">
        <w:rPr>
          <w:rFonts w:cs="Arial"/>
        </w:rPr>
        <w:t>ś</w:t>
      </w:r>
      <w:r w:rsidRPr="0000595F">
        <w:rPr>
          <w:rFonts w:cs="Arial"/>
          <w:b/>
          <w:bCs/>
        </w:rPr>
        <w:t>ci wydatków w ramach Europejskiego Funduszu Rozwoju Regionalnego, Europejskiego Funduszu Społecznego oraz Funduszu Spójno</w:t>
      </w:r>
      <w:r w:rsidRPr="0000595F">
        <w:rPr>
          <w:rFonts w:cs="Arial"/>
        </w:rPr>
        <w:t>ś</w:t>
      </w:r>
      <w:r w:rsidRPr="0000595F">
        <w:rPr>
          <w:rFonts w:cs="Arial"/>
          <w:b/>
          <w:bCs/>
        </w:rPr>
        <w:t>ci na lata 2014-2020 - „</w:t>
      </w:r>
      <w:r w:rsidRPr="0000595F">
        <w:rPr>
          <w:rFonts w:cs="Arial"/>
        </w:rPr>
        <w:t xml:space="preserve">Zlecenie usługi merytorycznej w ramach projektu oznacza </w:t>
      </w:r>
      <w:r w:rsidRPr="0000595F">
        <w:rPr>
          <w:rFonts w:cs="Arial"/>
        </w:rPr>
        <w:lastRenderedPageBreak/>
        <w:t xml:space="preserve">powierzenie wykonawcom zewnętrznym, nie będącym personelem projektu, realizacji działań merytorycznych przewidzianych w ramach danego projektu, np. zlecenie usługi szkoleniowej. Jako zlecenia usługi merytorycznej nie należy rozumieć: </w:t>
      </w:r>
    </w:p>
    <w:p w:rsidR="00700586" w:rsidRPr="0000595F" w:rsidRDefault="00700586" w:rsidP="00AE47AE">
      <w:pPr>
        <w:pStyle w:val="Akapitzlist"/>
        <w:jc w:val="both"/>
        <w:rPr>
          <w:rFonts w:cs="Arial"/>
        </w:rPr>
      </w:pPr>
      <w:r w:rsidRPr="0000595F">
        <w:rPr>
          <w:rFonts w:cs="Arial"/>
        </w:rPr>
        <w:t>a) zakupu pojedynczych towarów lub usług np. cateringowych lub hotelowych, chyba że stanowią one część zleconej usługi merytorycznej,</w:t>
      </w:r>
    </w:p>
    <w:p w:rsidR="00700586" w:rsidRPr="0000595F" w:rsidRDefault="00700586" w:rsidP="00AE47AE">
      <w:pPr>
        <w:pStyle w:val="Akapitzlist"/>
        <w:jc w:val="both"/>
        <w:rPr>
          <w:rFonts w:cs="Arial"/>
        </w:rPr>
      </w:pPr>
      <w:r w:rsidRPr="0000595F">
        <w:rPr>
          <w:rFonts w:cs="Arial"/>
        </w:rPr>
        <w:t>b) angażowania personelu projektu.”</w:t>
      </w:r>
    </w:p>
    <w:p w:rsidR="00700586" w:rsidRPr="0000595F" w:rsidRDefault="00700586" w:rsidP="00AE47AE">
      <w:pPr>
        <w:pStyle w:val="Akapitzlist"/>
        <w:jc w:val="both"/>
        <w:rPr>
          <w:rFonts w:eastAsia="Calibri" w:cs="Times New Roman"/>
        </w:rPr>
      </w:pP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zadanie polegające na adaptacji pomieszczenia może być ujęte w jednej pozycji czy powinno być rozbite wg konkretnych, poszczególnych składników składających się na adaptację?</w:t>
      </w:r>
    </w:p>
    <w:p w:rsidR="00D81AF4" w:rsidRPr="0000595F" w:rsidRDefault="00901EDB" w:rsidP="00AE47AE">
      <w:pPr>
        <w:pStyle w:val="Akapitzlist"/>
        <w:jc w:val="both"/>
        <w:rPr>
          <w:rFonts w:eastAsia="Calibri" w:cs="Times New Roman"/>
        </w:rPr>
      </w:pPr>
      <w:r w:rsidRPr="0000595F">
        <w:rPr>
          <w:rFonts w:eastAsia="Calibri" w:cs="Times New Roman"/>
        </w:rPr>
        <w:t xml:space="preserve">Instytucja Zarządzająca sugeruje, aby wydatki w ramach adaptacji pomieszczeń rozliczane były w ramach jednej pozycji. Wskazanie jakie konkretnie wydatki wchodzą w skład tej pozycji zawarte może być w części </w:t>
      </w:r>
      <w:r w:rsidRPr="0000595F">
        <w:rPr>
          <w:rFonts w:eastAsia="Calibri" w:cs="Times New Roman"/>
          <w:i/>
        </w:rPr>
        <w:t>Uzasadnienie kosztów</w:t>
      </w:r>
      <w:r w:rsidRPr="0000595F">
        <w:rPr>
          <w:rFonts w:eastAsia="Calibri" w:cs="Times New Roman"/>
        </w:rPr>
        <w:t xml:space="preserve">. </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w celu wykazania komplementarności można powołać się na projekt planowany do złożenia w grudniu br.?</w:t>
      </w:r>
    </w:p>
    <w:p w:rsidR="009B10A8" w:rsidRPr="0000595F" w:rsidRDefault="009B10A8" w:rsidP="009B10A8">
      <w:pPr>
        <w:pStyle w:val="Akapitzlist"/>
        <w:spacing w:line="240" w:lineRule="auto"/>
        <w:jc w:val="both"/>
        <w:rPr>
          <w:rFonts w:cs="Arial"/>
          <w:kern w:val="1"/>
        </w:rPr>
      </w:pPr>
      <w:r w:rsidRPr="0000595F">
        <w:rPr>
          <w:rFonts w:cs="Arial"/>
          <w:kern w:val="1"/>
        </w:rPr>
        <w:t xml:space="preserve">Zgodnie z kryterium dla ZIT „W ramach tego kryterium będzie weryfikowane czy istnieją projekty powiązane ze zgłoszonym projektem, które zostały zrealizowane, bądź są w trakcie realizacji, </w:t>
      </w:r>
      <w:r w:rsidRPr="0000595F">
        <w:rPr>
          <w:rFonts w:cs="Arial"/>
          <w:b/>
          <w:kern w:val="1"/>
        </w:rPr>
        <w:t>bądź zostały zgłoszone w ramach tego samego naboru</w:t>
      </w:r>
      <w:r w:rsidRPr="0000595F">
        <w:rPr>
          <w:rFonts w:cs="Arial"/>
          <w:kern w:val="1"/>
        </w:rPr>
        <w:t>.</w:t>
      </w:r>
    </w:p>
    <w:p w:rsidR="00D81AF4" w:rsidRPr="0000595F" w:rsidRDefault="00D81AF4" w:rsidP="00AE47AE">
      <w:pPr>
        <w:pStyle w:val="Akapitzlist"/>
        <w:jc w:val="both"/>
        <w:rPr>
          <w:rFonts w:eastAsia="Calibri" w:cs="Times New Roman"/>
        </w:rPr>
      </w:pP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Czego dotyczy i jak rozumieć trwałość rezultatu w przypadku miejsc przedszkolnych (czy rozumieć ją jako gotowość funkcjonalną czy faktyczną ilość dzieci)? Prośba o udzielenie wiążącej interpretacji w formie pisemnej i umieszczenie jej na stronie internetowej – w sposób dostępny dla wszystkich potencjalnych beneficjentów.</w:t>
      </w:r>
    </w:p>
    <w:p w:rsidR="00700586" w:rsidRPr="0000595F" w:rsidRDefault="005E32B9" w:rsidP="00AE47AE">
      <w:pPr>
        <w:pStyle w:val="Akapitzlist"/>
        <w:jc w:val="both"/>
        <w:rPr>
          <w:rFonts w:eastAsia="Calibri" w:cs="Times New Roman"/>
        </w:rPr>
      </w:pPr>
      <w:r w:rsidRPr="0000595F">
        <w:rPr>
          <w:rFonts w:eastAsia="Calibri" w:cs="Times New Roman"/>
        </w:rPr>
        <w:t xml:space="preserve">Obowiązek zapewnienia trwałości dotyczy wszystkich miejsc tworzonych w ramach ośrodków wychowania przedszkolnego, w tym tych tworzonych dla potrzeb dzieci z niepełnosprawnościami. Przy czym </w:t>
      </w:r>
      <w:proofErr w:type="spellStart"/>
      <w:r w:rsidRPr="0000595F">
        <w:rPr>
          <w:rFonts w:eastAsia="Calibri" w:cs="Times New Roman"/>
        </w:rPr>
        <w:t>twałość</w:t>
      </w:r>
      <w:proofErr w:type="spellEnd"/>
      <w:r w:rsidRPr="0000595F">
        <w:rPr>
          <w:rFonts w:eastAsia="Calibri" w:cs="Times New Roman"/>
        </w:rPr>
        <w:t xml:space="preserve"> należy interpretować, jako gotowość pomiotu do świadczenia usługi. W sytuacji, gdy nie występuje popyt na usługę przedszkolną dla dziecka z niepełnosprawnością,  miejsce w OWP powinno zostać wykorzystane na potrzeby dziecka pełnosprawnego.</w:t>
      </w:r>
    </w:p>
    <w:p w:rsidR="00136446" w:rsidRPr="0000595F" w:rsidRDefault="00700586" w:rsidP="00AE47AE">
      <w:pPr>
        <w:pStyle w:val="Akapitzlist"/>
        <w:jc w:val="both"/>
        <w:rPr>
          <w:rFonts w:eastAsia="Calibri" w:cs="Times New Roman"/>
        </w:rPr>
      </w:pPr>
      <w:r w:rsidRPr="0000595F">
        <w:rPr>
          <w:rFonts w:eastAsia="Calibri" w:cs="Times New Roman"/>
        </w:rPr>
        <w:t xml:space="preserve"> </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Czy w przypadku projektu zakładającego wsparcie dla 6 przedszkoli – limit 30% wartości przeznaczonej na zajęcia dodatkowe jest liczony w odniesieniu do liczby nowo utworzonych miejsc w danym oddziale przedszkolnym czy też ustalony jest na poziomie całego projektu i może być dowolnie wykorzystany?</w:t>
      </w:r>
    </w:p>
    <w:p w:rsidR="005E32B9" w:rsidRPr="0000595F" w:rsidRDefault="0000226C" w:rsidP="00AE47AE">
      <w:pPr>
        <w:pStyle w:val="Default"/>
        <w:ind w:left="709"/>
        <w:jc w:val="both"/>
        <w:rPr>
          <w:rFonts w:asciiTheme="minorHAnsi" w:hAnsiTheme="minorHAnsi" w:cs="Calibri"/>
          <w:color w:val="auto"/>
          <w:sz w:val="22"/>
          <w:szCs w:val="22"/>
        </w:rPr>
      </w:pPr>
      <w:r w:rsidRPr="0000595F">
        <w:rPr>
          <w:rFonts w:asciiTheme="minorHAnsi" w:hAnsiTheme="minorHAnsi"/>
          <w:color w:val="auto"/>
          <w:sz w:val="22"/>
          <w:szCs w:val="22"/>
        </w:rPr>
        <w:t xml:space="preserve">Zgodnie z Wytycznymi   </w:t>
      </w:r>
      <w:r w:rsidRPr="0000595F">
        <w:rPr>
          <w:rFonts w:asciiTheme="minorHAnsi" w:hAnsiTheme="minorHAnsi"/>
          <w:b/>
          <w:bCs/>
          <w:color w:val="auto"/>
          <w:sz w:val="22"/>
          <w:szCs w:val="22"/>
        </w:rPr>
        <w:t xml:space="preserve">w zakresie realizacji przedsięwzięć z udziałem środków Europejskiego Funduszu Społecznego w obszarze edukacji na lata 2014-2020 - </w:t>
      </w:r>
      <w:r w:rsidRPr="0000595F">
        <w:rPr>
          <w:rFonts w:asciiTheme="minorHAnsi" w:hAnsiTheme="minorHAnsi"/>
          <w:color w:val="auto"/>
          <w:sz w:val="22"/>
          <w:szCs w:val="22"/>
        </w:rPr>
        <w:t xml:space="preserve">dodatkowe zajęcia mogą być adresowane do wszystkich dzieci danego OWP, niezależnie od liczby nowo utworzonych lub dostosowanych miejsc wychowania przedszkolnego. Kwota wydatków na realizację zajęć dodatkowych może stanowić nie więcej niż </w:t>
      </w:r>
      <w:r w:rsidRPr="0000595F">
        <w:rPr>
          <w:rFonts w:asciiTheme="minorHAnsi" w:hAnsiTheme="minorHAnsi"/>
          <w:b/>
          <w:color w:val="auto"/>
          <w:sz w:val="22"/>
          <w:szCs w:val="22"/>
        </w:rPr>
        <w:t>30% kosztów bezpośrednich projektu</w:t>
      </w:r>
      <w:r w:rsidRPr="0000595F">
        <w:rPr>
          <w:rFonts w:asciiTheme="minorHAnsi" w:hAnsiTheme="minorHAnsi"/>
          <w:color w:val="auto"/>
          <w:sz w:val="22"/>
          <w:szCs w:val="22"/>
        </w:rPr>
        <w:t xml:space="preserve">. Limit nie ma zastosowania w przypadku dodatkowej oferty edukacyjnej dla dzieci z niepełnosprawnościami. Należy mieć na uwadze, że zgodnie z </w:t>
      </w:r>
      <w:proofErr w:type="spellStart"/>
      <w:r w:rsidRPr="0000595F">
        <w:rPr>
          <w:rFonts w:asciiTheme="minorHAnsi" w:hAnsiTheme="minorHAnsi"/>
          <w:color w:val="auto"/>
          <w:sz w:val="22"/>
          <w:szCs w:val="22"/>
        </w:rPr>
        <w:t>SzOOP</w:t>
      </w:r>
      <w:proofErr w:type="spellEnd"/>
      <w:r w:rsidRPr="0000595F">
        <w:rPr>
          <w:rFonts w:asciiTheme="minorHAnsi" w:hAnsiTheme="minorHAnsi"/>
          <w:color w:val="auto"/>
          <w:sz w:val="22"/>
          <w:szCs w:val="22"/>
        </w:rPr>
        <w:t xml:space="preserve"> - </w:t>
      </w:r>
      <w:r w:rsidRPr="0000595F">
        <w:rPr>
          <w:rFonts w:asciiTheme="minorHAnsi" w:hAnsiTheme="minorHAnsi" w:cs="Calibri"/>
          <w:color w:val="auto"/>
          <w:sz w:val="22"/>
          <w:szCs w:val="22"/>
        </w:rPr>
        <w:t xml:space="preserve">Dodatkowe zajęcia dla dzieci bez niepełnosprawności są uzupełniające w stosunku do działań ukierunkowanych na tworzenie nowych miejsc wychowania przedszkolnego. Każdorazowo musi być odnotowany wzrost liczby dzieci uczestniczących w wychowaniu przedszkolnym w nowo utworzonym albo we wspartym ośrodku wychowania przedszkolnego. </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lastRenderedPageBreak/>
        <w:t>Czy warunek 30% wartości projektu na zajęcia dodatkowe dotyczy również zajęć dla dzieci z niepełnosprawnościami?</w:t>
      </w:r>
    </w:p>
    <w:p w:rsidR="00136446" w:rsidRPr="0000595F" w:rsidRDefault="0000226C" w:rsidP="00AE47AE">
      <w:pPr>
        <w:pStyle w:val="Akapitzlist"/>
        <w:jc w:val="both"/>
        <w:rPr>
          <w:rFonts w:eastAsia="Calibri" w:cs="Times New Roman"/>
        </w:rPr>
      </w:pPr>
      <w:r w:rsidRPr="0000595F">
        <w:rPr>
          <w:rFonts w:eastAsia="Calibri" w:cs="Times New Roman"/>
        </w:rPr>
        <w:t xml:space="preserve">Nie, </w:t>
      </w:r>
      <w:r w:rsidRPr="0000595F">
        <w:t xml:space="preserve">Zgodnie z Wytycznymi   </w:t>
      </w:r>
      <w:r w:rsidRPr="0000595F">
        <w:rPr>
          <w:b/>
          <w:bCs/>
        </w:rPr>
        <w:t>w zakresie realizacji przedsięwzięć z udziałem środków Europejskiego Funduszu Społecznego w obszarze edukacji na lata 2014-2020</w:t>
      </w:r>
      <w:r w:rsidRPr="0000595F">
        <w:t xml:space="preserve"> - Limit nie ma zastosowania w przypadku dodatkowej oferty edukacyjnej dla dzieci z niepełnosprawnościami.</w:t>
      </w:r>
    </w:p>
    <w:p w:rsidR="00CA509D" w:rsidRPr="0000595F" w:rsidRDefault="003F64C3" w:rsidP="00AE47AE">
      <w:pPr>
        <w:pStyle w:val="Akapitzlist"/>
        <w:numPr>
          <w:ilvl w:val="0"/>
          <w:numId w:val="3"/>
        </w:numPr>
        <w:jc w:val="both"/>
        <w:rPr>
          <w:rFonts w:eastAsia="Calibri" w:cs="Times New Roman"/>
        </w:rPr>
      </w:pPr>
      <w:r w:rsidRPr="0000595F">
        <w:rPr>
          <w:rFonts w:eastAsia="Calibri" w:cs="Times New Roman"/>
        </w:rPr>
        <w:t>Środki trwałe i cross-</w:t>
      </w:r>
      <w:proofErr w:type="spellStart"/>
      <w:r w:rsidRPr="0000595F">
        <w:rPr>
          <w:rFonts w:eastAsia="Calibri" w:cs="Times New Roman"/>
        </w:rPr>
        <w:t>financing</w:t>
      </w:r>
      <w:proofErr w:type="spellEnd"/>
      <w:r w:rsidRPr="0000595F">
        <w:rPr>
          <w:rFonts w:eastAsia="Calibri" w:cs="Times New Roman"/>
        </w:rPr>
        <w:t xml:space="preserve"> – jaka jest dokładnie różnica? Jakie wydatki wchodzą w skład tych kategorii? Jak jest wyliczana war</w:t>
      </w:r>
      <w:r w:rsidR="00863464" w:rsidRPr="0000595F">
        <w:rPr>
          <w:rFonts w:eastAsia="Calibri" w:cs="Times New Roman"/>
        </w:rPr>
        <w:t>t</w:t>
      </w:r>
      <w:r w:rsidRPr="0000595F">
        <w:rPr>
          <w:rFonts w:eastAsia="Calibri" w:cs="Times New Roman"/>
        </w:rPr>
        <w:t>oś</w:t>
      </w:r>
      <w:r w:rsidR="00863464" w:rsidRPr="0000595F">
        <w:rPr>
          <w:rFonts w:eastAsia="Calibri" w:cs="Times New Roman"/>
        </w:rPr>
        <w:t>ć</w:t>
      </w:r>
      <w:r w:rsidRPr="0000595F">
        <w:rPr>
          <w:rFonts w:eastAsia="Calibri" w:cs="Times New Roman"/>
        </w:rPr>
        <w:t xml:space="preserve"> cross-</w:t>
      </w:r>
      <w:proofErr w:type="spellStart"/>
      <w:r w:rsidRPr="0000595F">
        <w:rPr>
          <w:rFonts w:eastAsia="Calibri" w:cs="Times New Roman"/>
        </w:rPr>
        <w:t>fina</w:t>
      </w:r>
      <w:r w:rsidR="00855FEC" w:rsidRPr="0000595F">
        <w:rPr>
          <w:rFonts w:eastAsia="Calibri" w:cs="Times New Roman"/>
        </w:rPr>
        <w:t>n</w:t>
      </w:r>
      <w:r w:rsidRPr="0000595F">
        <w:rPr>
          <w:rFonts w:eastAsia="Calibri" w:cs="Times New Roman"/>
        </w:rPr>
        <w:t>cingu</w:t>
      </w:r>
      <w:proofErr w:type="spellEnd"/>
      <w:r w:rsidRPr="0000595F">
        <w:rPr>
          <w:rFonts w:eastAsia="Calibri" w:cs="Times New Roman"/>
        </w:rPr>
        <w:t xml:space="preserve"> (do jakiego poziomu)?</w:t>
      </w:r>
    </w:p>
    <w:p w:rsidR="0000226C" w:rsidRPr="0000595F" w:rsidRDefault="0000226C" w:rsidP="00AE47AE">
      <w:pPr>
        <w:autoSpaceDE w:val="0"/>
        <w:autoSpaceDN w:val="0"/>
        <w:adjustRightInd w:val="0"/>
        <w:spacing w:after="0" w:line="240" w:lineRule="auto"/>
        <w:ind w:left="709"/>
        <w:jc w:val="both"/>
        <w:rPr>
          <w:rFonts w:cs="Arial"/>
          <w:b/>
          <w:bCs/>
        </w:rPr>
      </w:pPr>
      <w:r w:rsidRPr="0000595F">
        <w:rPr>
          <w:rFonts w:cs="Arial"/>
        </w:rPr>
        <w:t xml:space="preserve">Zgodnie z </w:t>
      </w:r>
      <w:r w:rsidRPr="0000595F">
        <w:rPr>
          <w:rFonts w:cs="Arial"/>
          <w:b/>
          <w:bCs/>
        </w:rPr>
        <w:t>Wytycznymi w zakresie kwalifikowalno</w:t>
      </w:r>
      <w:r w:rsidRPr="0000595F">
        <w:rPr>
          <w:rFonts w:cs="Arial"/>
        </w:rPr>
        <w:t>ś</w:t>
      </w:r>
      <w:r w:rsidRPr="0000595F">
        <w:rPr>
          <w:rFonts w:cs="Arial"/>
          <w:b/>
          <w:bCs/>
        </w:rPr>
        <w:t>ci wydatków w ramach Europejskiego Funduszu Rozwoju Regionalnego, Europejskiego Funduszu Społecznego oraz Funduszu Spójno</w:t>
      </w:r>
      <w:r w:rsidRPr="0000595F">
        <w:rPr>
          <w:rFonts w:cs="Arial"/>
        </w:rPr>
        <w:t>ś</w:t>
      </w:r>
      <w:r w:rsidRPr="0000595F">
        <w:rPr>
          <w:rFonts w:cs="Arial"/>
          <w:b/>
          <w:bCs/>
        </w:rPr>
        <w:t>ci na lata 2014-2020:</w:t>
      </w:r>
    </w:p>
    <w:p w:rsidR="0000226C" w:rsidRPr="0000595F" w:rsidRDefault="0000226C" w:rsidP="00AE47AE">
      <w:pPr>
        <w:autoSpaceDE w:val="0"/>
        <w:autoSpaceDN w:val="0"/>
        <w:adjustRightInd w:val="0"/>
        <w:spacing w:after="0" w:line="240" w:lineRule="auto"/>
        <w:ind w:left="709"/>
        <w:jc w:val="both"/>
        <w:rPr>
          <w:rFonts w:cs="Arial"/>
        </w:rPr>
      </w:pPr>
      <w:r w:rsidRPr="0000595F">
        <w:rPr>
          <w:rFonts w:cs="Arial"/>
          <w:b/>
          <w:bCs/>
        </w:rPr>
        <w:t xml:space="preserve"> „</w:t>
      </w:r>
      <w:r w:rsidRPr="0000595F">
        <w:rPr>
          <w:rFonts w:cs="Arial"/>
        </w:rPr>
        <w:t xml:space="preserve">W przypadku projektów współfinansowanych z EFS </w:t>
      </w:r>
      <w:r w:rsidRPr="0000595F">
        <w:rPr>
          <w:rFonts w:cs="Arial"/>
          <w:i/>
          <w:iCs/>
        </w:rPr>
        <w:t>cross-</w:t>
      </w:r>
      <w:proofErr w:type="spellStart"/>
      <w:r w:rsidRPr="0000595F">
        <w:rPr>
          <w:rFonts w:cs="Arial"/>
          <w:i/>
          <w:iCs/>
        </w:rPr>
        <w:t>financing</w:t>
      </w:r>
      <w:proofErr w:type="spellEnd"/>
      <w:r w:rsidRPr="0000595F">
        <w:rPr>
          <w:rFonts w:cs="Arial"/>
          <w:i/>
          <w:iCs/>
        </w:rPr>
        <w:t xml:space="preserve"> </w:t>
      </w:r>
      <w:r w:rsidRPr="0000595F">
        <w:rPr>
          <w:rFonts w:cs="Arial"/>
        </w:rPr>
        <w:t>może dotyczyć wyłącznie:</w:t>
      </w:r>
    </w:p>
    <w:p w:rsidR="0000226C" w:rsidRPr="0000595F" w:rsidRDefault="0000226C" w:rsidP="00AE47AE">
      <w:pPr>
        <w:autoSpaceDE w:val="0"/>
        <w:autoSpaceDN w:val="0"/>
        <w:adjustRightInd w:val="0"/>
        <w:spacing w:after="0" w:line="240" w:lineRule="auto"/>
        <w:ind w:left="709"/>
        <w:jc w:val="both"/>
        <w:rPr>
          <w:rFonts w:cs="Arial"/>
        </w:rPr>
      </w:pPr>
      <w:r w:rsidRPr="0000595F">
        <w:rPr>
          <w:rFonts w:cs="Arial"/>
        </w:rPr>
        <w:t>a) zakupu nieruchomości,</w:t>
      </w:r>
    </w:p>
    <w:p w:rsidR="0000226C" w:rsidRPr="0000595F" w:rsidRDefault="0000226C" w:rsidP="00AE47AE">
      <w:pPr>
        <w:autoSpaceDE w:val="0"/>
        <w:autoSpaceDN w:val="0"/>
        <w:adjustRightInd w:val="0"/>
        <w:spacing w:after="0" w:line="240" w:lineRule="auto"/>
        <w:ind w:left="709"/>
        <w:jc w:val="both"/>
        <w:rPr>
          <w:rFonts w:cs="Arial"/>
        </w:rPr>
      </w:pPr>
      <w:r w:rsidRPr="0000595F">
        <w:rPr>
          <w:rFonts w:cs="Arial"/>
        </w:rPr>
        <w:t>b) zakupu infrastruktury, przy czym poprzez infrastrukturę rozumie się elementy</w:t>
      </w:r>
    </w:p>
    <w:p w:rsidR="0000226C" w:rsidRPr="0000595F" w:rsidRDefault="0000226C" w:rsidP="00AE47AE">
      <w:pPr>
        <w:autoSpaceDE w:val="0"/>
        <w:autoSpaceDN w:val="0"/>
        <w:adjustRightInd w:val="0"/>
        <w:spacing w:after="0" w:line="240" w:lineRule="auto"/>
        <w:ind w:left="709"/>
        <w:jc w:val="both"/>
        <w:rPr>
          <w:rFonts w:cs="Arial"/>
        </w:rPr>
      </w:pPr>
      <w:r w:rsidRPr="0000595F">
        <w:rPr>
          <w:rFonts w:cs="Arial"/>
        </w:rPr>
        <w:t>nieprzenośne, na stałe przytwierdzone do nieruchomości, np. wykonanie podjazdu</w:t>
      </w:r>
      <w:r w:rsidR="00AE47AE" w:rsidRPr="0000595F">
        <w:rPr>
          <w:rFonts w:cs="Arial"/>
        </w:rPr>
        <w:t xml:space="preserve"> </w:t>
      </w:r>
      <w:r w:rsidRPr="0000595F">
        <w:rPr>
          <w:rFonts w:cs="Arial"/>
        </w:rPr>
        <w:t>do budynku, zainstalowanie windy w budynku,</w:t>
      </w:r>
    </w:p>
    <w:p w:rsidR="0000226C" w:rsidRPr="0000595F" w:rsidRDefault="0000226C" w:rsidP="00AE47AE">
      <w:pPr>
        <w:autoSpaceDE w:val="0"/>
        <w:autoSpaceDN w:val="0"/>
        <w:adjustRightInd w:val="0"/>
        <w:spacing w:after="0" w:line="240" w:lineRule="auto"/>
        <w:ind w:left="709"/>
        <w:jc w:val="both"/>
        <w:rPr>
          <w:rFonts w:cs="Arial"/>
        </w:rPr>
      </w:pPr>
      <w:r w:rsidRPr="0000595F">
        <w:rPr>
          <w:rFonts w:cs="Arial"/>
        </w:rPr>
        <w:t>c) dostosowania lub adaptacji (prace remontowo-wykończeniowe) budynków</w:t>
      </w:r>
      <w:r w:rsidR="00AE47AE" w:rsidRPr="0000595F">
        <w:rPr>
          <w:rFonts w:cs="Arial"/>
        </w:rPr>
        <w:t xml:space="preserve"> </w:t>
      </w:r>
      <w:r w:rsidRPr="0000595F">
        <w:rPr>
          <w:rFonts w:cs="Arial"/>
        </w:rPr>
        <w:t>i pomieszczeń.</w:t>
      </w:r>
    </w:p>
    <w:p w:rsidR="00AE47AE" w:rsidRPr="0000595F" w:rsidRDefault="00AE47AE" w:rsidP="00AE47AE">
      <w:pPr>
        <w:autoSpaceDE w:val="0"/>
        <w:autoSpaceDN w:val="0"/>
        <w:adjustRightInd w:val="0"/>
        <w:spacing w:after="0" w:line="240" w:lineRule="auto"/>
        <w:ind w:left="709"/>
        <w:jc w:val="both"/>
        <w:rPr>
          <w:rFonts w:cs="Arial"/>
        </w:rPr>
      </w:pPr>
      <w:r w:rsidRPr="0000595F">
        <w:rPr>
          <w:rFonts w:cs="Arial"/>
        </w:rPr>
        <w:t>Środki trwałe, ze względu na sposób ich wykorzystania w ramach i na rzecz projektu,</w:t>
      </w:r>
    </w:p>
    <w:p w:rsidR="00AE47AE" w:rsidRPr="0000595F" w:rsidRDefault="00AE47AE" w:rsidP="00AE47AE">
      <w:pPr>
        <w:autoSpaceDE w:val="0"/>
        <w:autoSpaceDN w:val="0"/>
        <w:adjustRightInd w:val="0"/>
        <w:spacing w:after="0" w:line="240" w:lineRule="auto"/>
        <w:ind w:left="709"/>
        <w:jc w:val="both"/>
        <w:rPr>
          <w:rFonts w:cs="Arial"/>
        </w:rPr>
      </w:pPr>
      <w:r w:rsidRPr="0000595F">
        <w:rPr>
          <w:rFonts w:cs="Arial"/>
        </w:rPr>
        <w:t>dzielą się na:</w:t>
      </w:r>
    </w:p>
    <w:p w:rsidR="00AE47AE" w:rsidRPr="0000595F" w:rsidRDefault="00AE47AE" w:rsidP="00AE47AE">
      <w:pPr>
        <w:autoSpaceDE w:val="0"/>
        <w:autoSpaceDN w:val="0"/>
        <w:adjustRightInd w:val="0"/>
        <w:spacing w:after="0" w:line="240" w:lineRule="auto"/>
        <w:ind w:left="709"/>
        <w:jc w:val="both"/>
        <w:rPr>
          <w:rFonts w:cs="Arial"/>
        </w:rPr>
      </w:pPr>
      <w:r w:rsidRPr="0000595F">
        <w:rPr>
          <w:rFonts w:cs="Arial"/>
        </w:rPr>
        <w:t xml:space="preserve">a) środki trwałe bezpośrednio powiązane z przedmiotem projektu (np. </w:t>
      </w:r>
      <w:proofErr w:type="spellStart"/>
      <w:r w:rsidRPr="0000595F">
        <w:rPr>
          <w:rFonts w:cs="Arial"/>
        </w:rPr>
        <w:t>wyposaŜenie</w:t>
      </w:r>
      <w:proofErr w:type="spellEnd"/>
    </w:p>
    <w:p w:rsidR="00AE47AE" w:rsidRPr="0000595F" w:rsidRDefault="00AE47AE" w:rsidP="00AE47AE">
      <w:pPr>
        <w:autoSpaceDE w:val="0"/>
        <w:autoSpaceDN w:val="0"/>
        <w:adjustRightInd w:val="0"/>
        <w:spacing w:after="0" w:line="240" w:lineRule="auto"/>
        <w:ind w:left="709"/>
        <w:jc w:val="both"/>
        <w:rPr>
          <w:rFonts w:cs="Arial"/>
        </w:rPr>
      </w:pPr>
      <w:r w:rsidRPr="0000595F">
        <w:rPr>
          <w:rFonts w:cs="Arial"/>
        </w:rPr>
        <w:t>pracowni komputerowych w szkole),</w:t>
      </w:r>
    </w:p>
    <w:p w:rsidR="00AE47AE" w:rsidRPr="0000595F" w:rsidRDefault="00AE47AE" w:rsidP="00AE47AE">
      <w:pPr>
        <w:autoSpaceDE w:val="0"/>
        <w:autoSpaceDN w:val="0"/>
        <w:adjustRightInd w:val="0"/>
        <w:spacing w:after="0" w:line="240" w:lineRule="auto"/>
        <w:ind w:left="709"/>
        <w:jc w:val="both"/>
        <w:rPr>
          <w:rFonts w:cs="Arial"/>
        </w:rPr>
      </w:pPr>
      <w:r w:rsidRPr="0000595F">
        <w:rPr>
          <w:rFonts w:cs="Arial"/>
        </w:rPr>
        <w:t>b) środki trwałe wykorzystywane w celu wspomagania procesu Wdrażania projektu</w:t>
      </w:r>
    </w:p>
    <w:p w:rsidR="00AE47AE" w:rsidRPr="0000595F" w:rsidRDefault="00AE47AE" w:rsidP="00AE47AE">
      <w:pPr>
        <w:pStyle w:val="Default"/>
        <w:ind w:left="709"/>
        <w:jc w:val="both"/>
        <w:rPr>
          <w:rFonts w:asciiTheme="minorHAnsi" w:hAnsiTheme="minorHAnsi"/>
          <w:color w:val="auto"/>
          <w:sz w:val="22"/>
          <w:szCs w:val="22"/>
        </w:rPr>
      </w:pPr>
      <w:r w:rsidRPr="0000595F">
        <w:rPr>
          <w:rFonts w:asciiTheme="minorHAnsi" w:hAnsiTheme="minorHAnsi"/>
          <w:color w:val="auto"/>
          <w:sz w:val="22"/>
          <w:szCs w:val="22"/>
        </w:rPr>
        <w:t xml:space="preserve">(np. rzutnik na szkolenia). </w:t>
      </w:r>
    </w:p>
    <w:p w:rsidR="0000226C" w:rsidRPr="0000595F" w:rsidRDefault="00AE47AE" w:rsidP="00AE47AE">
      <w:pPr>
        <w:pStyle w:val="Default"/>
        <w:ind w:left="709"/>
        <w:jc w:val="both"/>
        <w:rPr>
          <w:rFonts w:asciiTheme="minorHAnsi" w:hAnsiTheme="minorHAnsi"/>
          <w:color w:val="auto"/>
          <w:sz w:val="22"/>
          <w:szCs w:val="22"/>
        </w:rPr>
      </w:pPr>
      <w:r w:rsidRPr="0000595F">
        <w:rPr>
          <w:rFonts w:asciiTheme="minorHAnsi" w:hAnsiTheme="minorHAnsi"/>
          <w:color w:val="auto"/>
          <w:sz w:val="22"/>
          <w:szCs w:val="22"/>
        </w:rPr>
        <w:t xml:space="preserve">Zgodnie z </w:t>
      </w:r>
      <w:proofErr w:type="spellStart"/>
      <w:r w:rsidRPr="0000595F">
        <w:rPr>
          <w:rFonts w:asciiTheme="minorHAnsi" w:hAnsiTheme="minorHAnsi"/>
          <w:color w:val="auto"/>
          <w:sz w:val="22"/>
          <w:szCs w:val="22"/>
        </w:rPr>
        <w:t>SzOOP</w:t>
      </w:r>
      <w:proofErr w:type="spellEnd"/>
      <w:r w:rsidRPr="0000595F">
        <w:rPr>
          <w:rFonts w:asciiTheme="minorHAnsi" w:hAnsiTheme="minorHAnsi"/>
          <w:color w:val="auto"/>
          <w:sz w:val="22"/>
          <w:szCs w:val="22"/>
        </w:rPr>
        <w:t xml:space="preserve"> RPO WD 2014-2020 </w:t>
      </w:r>
      <w:r w:rsidRPr="0000595F">
        <w:rPr>
          <w:rFonts w:asciiTheme="minorHAnsi" w:hAnsiTheme="minorHAnsi" w:cs="Calibri"/>
          <w:color w:val="auto"/>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00595F">
        <w:rPr>
          <w:rFonts w:asciiTheme="minorHAnsi" w:hAnsiTheme="minorHAnsi" w:cs="Calibri"/>
          <w:color w:val="auto"/>
          <w:sz w:val="22"/>
          <w:szCs w:val="22"/>
        </w:rPr>
        <w:t>financingu</w:t>
      </w:r>
      <w:proofErr w:type="spellEnd"/>
      <w:r w:rsidRPr="0000595F">
        <w:rPr>
          <w:rFonts w:asciiTheme="minorHAnsi" w:hAnsiTheme="minorHAnsi" w:cs="Calibri"/>
          <w:color w:val="auto"/>
          <w:sz w:val="22"/>
          <w:szCs w:val="22"/>
        </w:rPr>
        <w:t xml:space="preserve"> nie może łącznie przekroczyć 30% wydatków </w:t>
      </w:r>
      <w:r w:rsidRPr="0000595F">
        <w:rPr>
          <w:rFonts w:asciiTheme="minorHAnsi" w:hAnsiTheme="minorHAnsi"/>
          <w:color w:val="auto"/>
          <w:sz w:val="22"/>
          <w:szCs w:val="22"/>
        </w:rPr>
        <w:t>projektu.</w:t>
      </w:r>
    </w:p>
    <w:p w:rsidR="00AE47AE" w:rsidRPr="0000595F" w:rsidRDefault="00AE47AE" w:rsidP="00AE47AE">
      <w:pPr>
        <w:pStyle w:val="Akapitzlist"/>
        <w:ind w:left="709"/>
        <w:jc w:val="both"/>
        <w:rPr>
          <w:rFonts w:eastAsia="Calibri" w:cs="Times New Roman"/>
        </w:rPr>
      </w:pPr>
    </w:p>
    <w:p w:rsidR="003F64C3" w:rsidRPr="0000595F" w:rsidRDefault="003F64C3" w:rsidP="00AE47AE">
      <w:pPr>
        <w:pStyle w:val="Akapitzlist"/>
        <w:numPr>
          <w:ilvl w:val="0"/>
          <w:numId w:val="3"/>
        </w:numPr>
        <w:jc w:val="both"/>
        <w:rPr>
          <w:rFonts w:eastAsia="Calibri" w:cs="Times New Roman"/>
        </w:rPr>
      </w:pPr>
      <w:r w:rsidRPr="0000595F">
        <w:rPr>
          <w:rFonts w:eastAsia="Calibri" w:cs="Times New Roman"/>
        </w:rPr>
        <w:t>Czy w przypadku gdy w projekcie nie ma cross-</w:t>
      </w:r>
      <w:proofErr w:type="spellStart"/>
      <w:r w:rsidRPr="0000595F">
        <w:rPr>
          <w:rFonts w:eastAsia="Calibri" w:cs="Times New Roman"/>
        </w:rPr>
        <w:t>fina</w:t>
      </w:r>
      <w:r w:rsidR="00855FEC" w:rsidRPr="0000595F">
        <w:rPr>
          <w:rFonts w:eastAsia="Calibri" w:cs="Times New Roman"/>
        </w:rPr>
        <w:t>n</w:t>
      </w:r>
      <w:r w:rsidRPr="0000595F">
        <w:rPr>
          <w:rFonts w:eastAsia="Calibri" w:cs="Times New Roman"/>
        </w:rPr>
        <w:t>cingu</w:t>
      </w:r>
      <w:proofErr w:type="spellEnd"/>
      <w:r w:rsidRPr="0000595F">
        <w:rPr>
          <w:rFonts w:eastAsia="Calibri" w:cs="Times New Roman"/>
        </w:rPr>
        <w:t>, 30% środków może być wydatkowane na pomoce dydaktyczne?</w:t>
      </w:r>
    </w:p>
    <w:p w:rsidR="00136446" w:rsidRPr="0000595F" w:rsidRDefault="00AE47AE" w:rsidP="00AE47AE">
      <w:pPr>
        <w:pStyle w:val="Akapitzlist"/>
        <w:jc w:val="both"/>
        <w:rPr>
          <w:rFonts w:eastAsia="Calibri" w:cs="Times New Roman"/>
        </w:rPr>
      </w:pPr>
      <w:r w:rsidRPr="0000595F">
        <w:rPr>
          <w:rFonts w:eastAsia="Calibri" w:cs="Times New Roman"/>
        </w:rPr>
        <w:t>Tak jeśli spełniają definicję środka trwałego</w:t>
      </w:r>
      <w:r w:rsidRPr="0000595F">
        <w:t xml:space="preserve"> Zgodnie z </w:t>
      </w:r>
      <w:proofErr w:type="spellStart"/>
      <w:r w:rsidRPr="0000595F">
        <w:t>SzOOP</w:t>
      </w:r>
      <w:proofErr w:type="spellEnd"/>
      <w:r w:rsidRPr="0000595F">
        <w:t xml:space="preserve"> RPO WD 2014-2020</w:t>
      </w:r>
      <w:r w:rsidRPr="0000595F">
        <w:rPr>
          <w:rFonts w:eastAsia="Calibri" w:cs="Times New Roman"/>
        </w:rPr>
        <w:t xml:space="preserve"> w</w:t>
      </w:r>
      <w:r w:rsidRPr="0000595F">
        <w:rPr>
          <w:rFonts w:cs="Calibri"/>
        </w:rPr>
        <w:t xml:space="preserve">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00595F">
        <w:rPr>
          <w:rFonts w:cs="Calibri"/>
        </w:rPr>
        <w:t>financingu</w:t>
      </w:r>
      <w:proofErr w:type="spellEnd"/>
      <w:r w:rsidRPr="0000595F">
        <w:rPr>
          <w:rFonts w:cs="Calibri"/>
        </w:rPr>
        <w:t xml:space="preserve"> nie może łącznie przekroczyć 30% wydatków </w:t>
      </w:r>
      <w:r w:rsidRPr="0000595F">
        <w:rPr>
          <w:rFonts w:cs="Arial"/>
        </w:rPr>
        <w:t>projektu</w:t>
      </w:r>
    </w:p>
    <w:p w:rsidR="003F64C3" w:rsidRPr="0000595F" w:rsidRDefault="003F64C3" w:rsidP="00AE47AE">
      <w:pPr>
        <w:contextualSpacing/>
        <w:jc w:val="both"/>
        <w:rPr>
          <w:rFonts w:eastAsia="Calibri" w:cs="Times New Roman"/>
        </w:rPr>
      </w:pPr>
    </w:p>
    <w:p w:rsidR="00700586" w:rsidRPr="0000595F" w:rsidRDefault="00700586" w:rsidP="00AE47AE">
      <w:pPr>
        <w:jc w:val="both"/>
      </w:pPr>
    </w:p>
    <w:sectPr w:rsidR="00700586" w:rsidRPr="0000595F" w:rsidSect="00030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1C07"/>
    <w:multiLevelType w:val="hybridMultilevel"/>
    <w:tmpl w:val="BCE2BA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BEF6CF1"/>
    <w:multiLevelType w:val="hybridMultilevel"/>
    <w:tmpl w:val="531AA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670118"/>
    <w:multiLevelType w:val="hybridMultilevel"/>
    <w:tmpl w:val="288E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C3"/>
    <w:rsid w:val="0000226C"/>
    <w:rsid w:val="0000595F"/>
    <w:rsid w:val="0003085C"/>
    <w:rsid w:val="00136446"/>
    <w:rsid w:val="00350199"/>
    <w:rsid w:val="00367399"/>
    <w:rsid w:val="003804AB"/>
    <w:rsid w:val="003A0D52"/>
    <w:rsid w:val="003A5AC2"/>
    <w:rsid w:val="003F64C3"/>
    <w:rsid w:val="003F7326"/>
    <w:rsid w:val="00540D34"/>
    <w:rsid w:val="005860D4"/>
    <w:rsid w:val="005D6B59"/>
    <w:rsid w:val="005E32B9"/>
    <w:rsid w:val="00700586"/>
    <w:rsid w:val="007D0E3B"/>
    <w:rsid w:val="00842992"/>
    <w:rsid w:val="00855FEC"/>
    <w:rsid w:val="00863464"/>
    <w:rsid w:val="008B1099"/>
    <w:rsid w:val="008D3EBC"/>
    <w:rsid w:val="00901EDB"/>
    <w:rsid w:val="009949CF"/>
    <w:rsid w:val="009B10A8"/>
    <w:rsid w:val="00AE47AE"/>
    <w:rsid w:val="00AF5CD6"/>
    <w:rsid w:val="00C42102"/>
    <w:rsid w:val="00C8613B"/>
    <w:rsid w:val="00CA509D"/>
    <w:rsid w:val="00CF4150"/>
    <w:rsid w:val="00D4078E"/>
    <w:rsid w:val="00D81AF4"/>
    <w:rsid w:val="00D927FA"/>
    <w:rsid w:val="00DE0170"/>
    <w:rsid w:val="00E945EF"/>
    <w:rsid w:val="00EA5B75"/>
    <w:rsid w:val="00F83F8C"/>
    <w:rsid w:val="00FA46E6"/>
    <w:rsid w:val="00FE1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E42EC-DD2C-407E-8882-180C13B7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613B"/>
    <w:pPr>
      <w:ind w:left="720"/>
      <w:contextualSpacing/>
    </w:pPr>
  </w:style>
  <w:style w:type="paragraph" w:customStyle="1" w:styleId="Default">
    <w:name w:val="Default"/>
    <w:rsid w:val="000022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12618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Smolińska</dc:creator>
  <cp:lastModifiedBy>Izabela Stywryszko</cp:lastModifiedBy>
  <cp:revision>2</cp:revision>
  <dcterms:created xsi:type="dcterms:W3CDTF">2015-12-21T14:02:00Z</dcterms:created>
  <dcterms:modified xsi:type="dcterms:W3CDTF">2015-12-21T14:02:00Z</dcterms:modified>
</cp:coreProperties>
</file>